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954" w:rsidRDefault="00D32E6A">
      <w:r>
        <w:rPr>
          <w:noProof/>
        </w:rPr>
        <mc:AlternateContent>
          <mc:Choice Requires="wps">
            <w:drawing>
              <wp:anchor distT="0" distB="0" distL="114300" distR="114300" simplePos="0" relativeHeight="251658240" behindDoc="0" locked="0" layoutInCell="1" allowOverlap="1">
                <wp:simplePos x="0" y="0"/>
                <wp:positionH relativeFrom="column">
                  <wp:posOffset>-45720</wp:posOffset>
                </wp:positionH>
                <wp:positionV relativeFrom="paragraph">
                  <wp:posOffset>30480</wp:posOffset>
                </wp:positionV>
                <wp:extent cx="5795645" cy="1352550"/>
                <wp:effectExtent l="0" t="0" r="14605" b="0"/>
                <wp:wrapNone/>
                <wp:docPr id="5" name="文本框 5"/>
                <wp:cNvGraphicFramePr/>
                <a:graphic xmlns:a="http://schemas.openxmlformats.org/drawingml/2006/main">
                  <a:graphicData uri="http://schemas.microsoft.com/office/word/2010/wordprocessingShape">
                    <wps:wsp>
                      <wps:cNvSpPr txBox="1"/>
                      <wps:spPr>
                        <a:xfrm>
                          <a:off x="1002030" y="1360170"/>
                          <a:ext cx="5795645" cy="1352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4A1954" w:rsidRDefault="00D32E6A">
                            <w:pPr>
                              <w:rPr>
                                <w:rFonts w:ascii="方正小标宋简体" w:eastAsia="方正小标宋简体" w:hAnsi="方正小标宋简体" w:cs="方正小标宋简体"/>
                                <w:color w:val="FF0000"/>
                                <w:spacing w:val="-34"/>
                                <w:w w:val="48"/>
                                <w:kern w:val="72"/>
                                <w:position w:val="6"/>
                                <w:sz w:val="150"/>
                                <w:szCs w:val="150"/>
                              </w:rPr>
                            </w:pPr>
                            <w:r>
                              <w:rPr>
                                <w:rFonts w:ascii="方正小标宋简体" w:eastAsia="方正小标宋简体" w:hAnsi="方正小标宋简体" w:cs="方正小标宋简体" w:hint="eastAsia"/>
                                <w:color w:val="FF0000"/>
                                <w:spacing w:val="-34"/>
                                <w:w w:val="48"/>
                                <w:kern w:val="72"/>
                                <w:position w:val="6"/>
                                <w:sz w:val="150"/>
                                <w:szCs w:val="150"/>
                              </w:rPr>
                              <w:t>宣恩县</w:t>
                            </w:r>
                            <w:r>
                              <w:rPr>
                                <w:rFonts w:ascii="方正小标宋简体" w:eastAsia="方正小标宋简体" w:hAnsi="方正小标宋简体" w:cs="方正小标宋简体" w:hint="eastAsia"/>
                                <w:color w:val="FF0000"/>
                                <w:spacing w:val="-34"/>
                                <w:w w:val="48"/>
                                <w:kern w:val="72"/>
                                <w:position w:val="6"/>
                                <w:sz w:val="150"/>
                                <w:szCs w:val="150"/>
                              </w:rPr>
                              <w:t>公共资源交易管理委员会</w:t>
                            </w:r>
                          </w:p>
                          <w:p w:rsidR="004A1954" w:rsidRDefault="004A1954">
                            <w:pPr>
                              <w:pStyle w:val="2"/>
                              <w:ind w:left="632" w:firstLine="632"/>
                              <w:rPr>
                                <w:rFonts w:hint="default"/>
                              </w:rPr>
                            </w:pPr>
                          </w:p>
                          <w:p w:rsidR="004A1954" w:rsidRDefault="004A1954">
                            <w:pPr>
                              <w:pStyle w:val="2"/>
                              <w:ind w:left="632" w:firstLine="632"/>
                              <w:rPr>
                                <w:rFonts w:hint="default"/>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3.6pt;margin-top:2.4pt;width:456.35pt;height:10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" fillcolor="white [3201]" stroked="f" strokeweight=".5pt">
                <v:textbox inset="0,0,0,0">
                  <w:txbxContent>
                    <w:p w:rsidR="004A1954" w:rsidRDefault="00D32E6A">
                      <w:pPr>
                        <w:rPr>
                          <w:rFonts w:ascii="方正小标宋简体" w:eastAsia="方正小标宋简体" w:hAnsi="方正小标宋简体" w:cs="方正小标宋简体"/>
                          <w:color w:val="FF0000"/>
                          <w:spacing w:val="-34"/>
                          <w:w w:val="48"/>
                          <w:kern w:val="72"/>
                          <w:position w:val="6"/>
                          <w:sz w:val="150"/>
                          <w:szCs w:val="150"/>
                        </w:rPr>
                      </w:pPr>
                      <w:r>
                        <w:rPr>
                          <w:rFonts w:ascii="方正小标宋简体" w:eastAsia="方正小标宋简体" w:hAnsi="方正小标宋简体" w:cs="方正小标宋简体" w:hint="eastAsia"/>
                          <w:color w:val="FF0000"/>
                          <w:spacing w:val="-34"/>
                          <w:w w:val="48"/>
                          <w:kern w:val="72"/>
                          <w:position w:val="6"/>
                          <w:sz w:val="150"/>
                          <w:szCs w:val="150"/>
                        </w:rPr>
                        <w:t>宣恩县</w:t>
                      </w:r>
                      <w:r>
                        <w:rPr>
                          <w:rFonts w:ascii="方正小标宋简体" w:eastAsia="方正小标宋简体" w:hAnsi="方正小标宋简体" w:cs="方正小标宋简体" w:hint="eastAsia"/>
                          <w:color w:val="FF0000"/>
                          <w:spacing w:val="-34"/>
                          <w:w w:val="48"/>
                          <w:kern w:val="72"/>
                          <w:position w:val="6"/>
                          <w:sz w:val="150"/>
                          <w:szCs w:val="150"/>
                        </w:rPr>
                        <w:t>公共资源交易管理委员会</w:t>
                      </w:r>
                    </w:p>
                    <w:p w:rsidR="004A1954" w:rsidRDefault="004A1954">
                      <w:pPr>
                        <w:pStyle w:val="2"/>
                        <w:ind w:left="632" w:firstLine="632"/>
                        <w:rPr>
                          <w:rFonts w:hint="default"/>
                        </w:rPr>
                      </w:pPr>
                    </w:p>
                    <w:p w:rsidR="004A1954" w:rsidRDefault="004A1954">
                      <w:pPr>
                        <w:pStyle w:val="2"/>
                        <w:ind w:left="632" w:firstLine="632"/>
                        <w:rPr>
                          <w:rFonts w:hint="default"/>
                        </w:rPr>
                      </w:pPr>
                    </w:p>
                  </w:txbxContent>
                </v:textbox>
              </v:shape>
            </w:pict>
          </mc:Fallback>
        </mc:AlternateContent>
      </w:r>
    </w:p>
    <w:p w:rsidR="004A1954" w:rsidRDefault="004A1954"/>
    <w:p w:rsidR="004A1954" w:rsidRDefault="004A1954"/>
    <w:p w:rsidR="004A1954" w:rsidRDefault="004A1954"/>
    <w:p w:rsidR="004A1954" w:rsidRDefault="00D32E6A">
      <w:pPr>
        <w:pStyle w:val="2"/>
        <w:ind w:left="632" w:firstLineChars="800" w:firstLine="2367"/>
        <w:rPr>
          <w:rFonts w:hint="default"/>
        </w:rPr>
      </w:pPr>
      <w:r>
        <w:rPr>
          <w:rFonts w:ascii="仿宋_GB2312" w:eastAsia="仿宋_GB2312" w:hAnsi="仿宋_GB2312" w:cs="仿宋_GB2312"/>
          <w:sz w:val="30"/>
          <w:szCs w:val="30"/>
        </w:rPr>
        <w:t>宣公管委</w:t>
      </w:r>
      <w:r>
        <w:rPr>
          <w:rFonts w:ascii="仿宋_GB2312" w:eastAsia="仿宋_GB2312" w:hAnsi="仿宋_GB2312" w:cs="仿宋_GB2312"/>
          <w:sz w:val="30"/>
          <w:szCs w:val="30"/>
        </w:rPr>
        <w:t>〔</w:t>
      </w:r>
      <w:r>
        <w:rPr>
          <w:rFonts w:ascii="仿宋_GB2312" w:eastAsia="仿宋_GB2312" w:hAnsi="仿宋_GB2312" w:cs="仿宋_GB2312"/>
          <w:sz w:val="30"/>
          <w:szCs w:val="30"/>
        </w:rPr>
        <w:t>2020</w:t>
      </w:r>
      <w:r>
        <w:rPr>
          <w:rFonts w:ascii="仿宋_GB2312" w:eastAsia="仿宋_GB2312" w:hAnsi="仿宋_GB2312" w:cs="仿宋_GB2312"/>
          <w:sz w:val="30"/>
          <w:szCs w:val="30"/>
        </w:rPr>
        <w:t>〕</w:t>
      </w:r>
      <w:r>
        <w:rPr>
          <w:rFonts w:ascii="仿宋_GB2312" w:eastAsia="仿宋_GB2312" w:hAnsi="仿宋_GB2312" w:cs="仿宋_GB2312"/>
          <w:sz w:val="30"/>
          <w:szCs w:val="30"/>
        </w:rPr>
        <w:t>4</w:t>
      </w:r>
      <w:r>
        <w:rPr>
          <w:rFonts w:ascii="仿宋_GB2312" w:eastAsia="仿宋_GB2312" w:hAnsi="仿宋_GB2312" w:cs="仿宋_GB2312"/>
          <w:sz w:val="30"/>
          <w:szCs w:val="30"/>
        </w:rPr>
        <w:t>号</w:t>
      </w:r>
    </w:p>
    <w:p w:rsidR="004A1954" w:rsidRDefault="00D32E6A">
      <w:pPr>
        <w:spacing w:line="640" w:lineRule="exact"/>
        <w:ind w:leftChars="200" w:left="632"/>
        <w:jc w:val="center"/>
        <w:rPr>
          <w:rFonts w:ascii="方正小标宋简体" w:eastAsia="方正小标宋简体" w:hAnsi="方正小标宋简体" w:cs="方正小标宋简体"/>
          <w:sz w:val="44"/>
          <w:szCs w:val="44"/>
        </w:rPr>
      </w:pPr>
      <w:r>
        <w:rPr>
          <w:noProof/>
        </w:rPr>
        <mc:AlternateContent>
          <mc:Choice Requires="wps">
            <w:drawing>
              <wp:anchor distT="0" distB="0" distL="114300" distR="114300" simplePos="0" relativeHeight="251659264" behindDoc="0" locked="0" layoutInCell="1" allowOverlap="1">
                <wp:simplePos x="0" y="0"/>
                <wp:positionH relativeFrom="column">
                  <wp:posOffset>13970</wp:posOffset>
                </wp:positionH>
                <wp:positionV relativeFrom="paragraph">
                  <wp:posOffset>12700</wp:posOffset>
                </wp:positionV>
                <wp:extent cx="5524500" cy="0"/>
                <wp:effectExtent l="0" t="0" r="0" b="0"/>
                <wp:wrapNone/>
                <wp:docPr id="7" name="直接连接符 7"/>
                <wp:cNvGraphicFramePr/>
                <a:graphic xmlns:a="http://schemas.openxmlformats.org/drawingml/2006/main">
                  <a:graphicData uri="http://schemas.microsoft.com/office/word/2010/wordprocessingShape">
                    <wps:wsp>
                      <wps:cNvCnPr/>
                      <wps:spPr>
                        <a:xfrm>
                          <a:off x="1021715" y="3092450"/>
                          <a:ext cx="5524500" cy="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99695FF" id="直接连接符 7"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1pt,1pt" to="436.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" strokecolor="red" strokeweight="1.5pt">
                <v:stroke joinstyle="miter"/>
              </v:line>
            </w:pict>
          </mc:Fallback>
        </mc:AlternateContent>
      </w:r>
    </w:p>
    <w:p w:rsidR="004A1954" w:rsidRDefault="00D32E6A">
      <w:pPr>
        <w:spacing w:line="570" w:lineRule="exact"/>
        <w:jc w:val="center"/>
        <w:rPr>
          <w:rFonts w:ascii="方正小标宋简体" w:eastAsia="方正小标宋简体" w:hAnsi="方正小标宋简体" w:cs="方正小标宋简体"/>
          <w:color w:val="000000" w:themeColor="text1"/>
          <w:sz w:val="40"/>
          <w:szCs w:val="40"/>
        </w:rPr>
      </w:pPr>
      <w:r>
        <w:rPr>
          <w:rFonts w:ascii="方正小标宋简体" w:eastAsia="方正小标宋简体" w:hAnsi="方正小标宋简体" w:cs="方正小标宋简体" w:hint="eastAsia"/>
          <w:color w:val="000000" w:themeColor="text1"/>
          <w:sz w:val="40"/>
          <w:szCs w:val="40"/>
        </w:rPr>
        <w:t>县公共资源交易管理委员会</w:t>
      </w:r>
    </w:p>
    <w:p w:rsidR="004A1954" w:rsidRDefault="00D32E6A">
      <w:pPr>
        <w:spacing w:line="570" w:lineRule="exact"/>
        <w:jc w:val="center"/>
        <w:rPr>
          <w:rFonts w:ascii="方正小标宋简体" w:eastAsia="方正小标宋简体" w:hAnsi="方正小标宋简体" w:cs="方正小标宋简体"/>
          <w:color w:val="000000" w:themeColor="text1"/>
          <w:spacing w:val="-6"/>
          <w:sz w:val="40"/>
          <w:szCs w:val="40"/>
        </w:rPr>
      </w:pPr>
      <w:r>
        <w:rPr>
          <w:rFonts w:ascii="方正小标宋简体" w:eastAsia="方正小标宋简体" w:hAnsi="方正小标宋简体" w:cs="方正小标宋简体" w:hint="eastAsia"/>
          <w:color w:val="000000" w:themeColor="text1"/>
          <w:spacing w:val="-6"/>
          <w:sz w:val="40"/>
          <w:szCs w:val="40"/>
        </w:rPr>
        <w:t>关于进一步加强公共资源招标投标监管工作的通知</w:t>
      </w:r>
    </w:p>
    <w:p w:rsidR="004A1954" w:rsidRDefault="004A1954">
      <w:pPr>
        <w:spacing w:line="570" w:lineRule="exact"/>
        <w:ind w:firstLineChars="200" w:firstLine="632"/>
        <w:rPr>
          <w:rFonts w:ascii="仿宋" w:hAnsi="仿宋" w:cs="仿宋"/>
          <w:color w:val="000000" w:themeColor="text1"/>
          <w:szCs w:val="32"/>
        </w:rPr>
      </w:pPr>
    </w:p>
    <w:p w:rsidR="004A1954" w:rsidRDefault="00D32E6A">
      <w:pPr>
        <w:spacing w:line="530" w:lineRule="exact"/>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各乡镇、县直各单位：</w:t>
      </w:r>
    </w:p>
    <w:p w:rsidR="004A1954" w:rsidRDefault="00D32E6A">
      <w:pPr>
        <w:spacing w:line="530" w:lineRule="exact"/>
        <w:ind w:firstLineChars="200" w:firstLine="632"/>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为贯彻落实《关于进一步规范工程建设项目招投标活动的四条措施（试行）》（恩施州政管发</w:t>
      </w:r>
      <w:r>
        <w:rPr>
          <w:rFonts w:ascii="仿宋_GB2312" w:eastAsia="仿宋_GB2312" w:hAnsi="仿宋_GB2312" w:cs="仿宋_GB2312" w:hint="eastAsia"/>
          <w:color w:val="000000" w:themeColor="text1"/>
          <w:szCs w:val="32"/>
        </w:rPr>
        <w:t>[2019]12</w:t>
      </w:r>
      <w:r>
        <w:rPr>
          <w:rFonts w:ascii="仿宋_GB2312" w:eastAsia="仿宋_GB2312" w:hAnsi="仿宋_GB2312" w:cs="仿宋_GB2312" w:hint="eastAsia"/>
          <w:color w:val="000000" w:themeColor="text1"/>
          <w:szCs w:val="32"/>
        </w:rPr>
        <w:t>号）文件精神，进一步规范公共资源交易行为</w:t>
      </w:r>
      <w:r>
        <w:rPr>
          <w:rFonts w:ascii="仿宋_GB2312" w:eastAsia="仿宋_GB2312" w:hAnsi="仿宋_GB2312" w:cs="仿宋_GB2312" w:hint="eastAsia"/>
          <w:color w:val="000000" w:themeColor="text1"/>
          <w:szCs w:val="32"/>
        </w:rPr>
        <w:t>,</w:t>
      </w:r>
      <w:r>
        <w:rPr>
          <w:rFonts w:ascii="仿宋_GB2312" w:eastAsia="仿宋_GB2312" w:hAnsi="仿宋_GB2312" w:cs="仿宋_GB2312" w:hint="eastAsia"/>
          <w:color w:val="000000" w:themeColor="text1"/>
          <w:szCs w:val="32"/>
        </w:rPr>
        <w:t>加强公共资源交易监督管理</w:t>
      </w:r>
      <w:r>
        <w:rPr>
          <w:rFonts w:ascii="仿宋_GB2312" w:eastAsia="仿宋_GB2312" w:hAnsi="仿宋_GB2312" w:cs="仿宋_GB2312" w:hint="eastAsia"/>
          <w:color w:val="000000" w:themeColor="text1"/>
          <w:szCs w:val="32"/>
        </w:rPr>
        <w:t>,</w:t>
      </w:r>
      <w:r>
        <w:rPr>
          <w:rFonts w:ascii="仿宋_GB2312" w:eastAsia="仿宋_GB2312" w:hAnsi="仿宋_GB2312" w:cs="仿宋_GB2312" w:hint="eastAsia"/>
          <w:color w:val="000000" w:themeColor="text1"/>
          <w:szCs w:val="32"/>
        </w:rPr>
        <w:t>保护国家利益、社会公共利益和公共资源交易当事人的合法权益</w:t>
      </w:r>
      <w:r>
        <w:rPr>
          <w:rFonts w:ascii="仿宋_GB2312" w:eastAsia="仿宋_GB2312" w:hAnsi="仿宋_GB2312" w:cs="仿宋_GB2312" w:hint="eastAsia"/>
          <w:color w:val="000000" w:themeColor="text1"/>
          <w:szCs w:val="32"/>
        </w:rPr>
        <w:t>,</w:t>
      </w:r>
      <w:r>
        <w:rPr>
          <w:rFonts w:ascii="仿宋_GB2312" w:eastAsia="仿宋_GB2312" w:hAnsi="仿宋_GB2312" w:cs="仿宋_GB2312" w:hint="eastAsia"/>
          <w:color w:val="000000" w:themeColor="text1"/>
          <w:szCs w:val="32"/>
        </w:rPr>
        <w:t>依据《中华人民共和国招标投标法》、《中华人民共和国政府采购法》、《湖北省公共资源招标投标监督管理条例》等法律法规，对我县进一步加强公共资源招投标监管工作通知如下：</w:t>
      </w:r>
    </w:p>
    <w:p w:rsidR="004A1954" w:rsidRDefault="00D32E6A">
      <w:pPr>
        <w:numPr>
          <w:ilvl w:val="0"/>
          <w:numId w:val="1"/>
        </w:numPr>
        <w:spacing w:line="530" w:lineRule="exact"/>
        <w:ind w:firstLineChars="200" w:firstLine="632"/>
        <w:rPr>
          <w:rFonts w:ascii="黑体" w:eastAsia="黑体" w:hAnsi="黑体" w:cs="黑体"/>
          <w:color w:val="000000" w:themeColor="text1"/>
          <w:szCs w:val="32"/>
        </w:rPr>
      </w:pPr>
      <w:r>
        <w:rPr>
          <w:rFonts w:ascii="黑体" w:eastAsia="黑体" w:hAnsi="黑体" w:cs="黑体" w:hint="eastAsia"/>
          <w:color w:val="000000" w:themeColor="text1"/>
          <w:szCs w:val="32"/>
        </w:rPr>
        <w:t>夯实责任，规范招投标市场主体交易行为</w:t>
      </w:r>
    </w:p>
    <w:p w:rsidR="004A1954" w:rsidRDefault="00D32E6A">
      <w:pPr>
        <w:spacing w:line="530" w:lineRule="exact"/>
        <w:ind w:firstLine="640"/>
        <w:rPr>
          <w:rFonts w:ascii="楷体" w:eastAsia="楷体" w:hAnsi="楷体" w:cs="楷体"/>
          <w:color w:val="000000" w:themeColor="text1"/>
          <w:szCs w:val="32"/>
        </w:rPr>
      </w:pPr>
      <w:r>
        <w:rPr>
          <w:rFonts w:ascii="楷体" w:eastAsia="楷体" w:hAnsi="楷体" w:cs="楷体" w:hint="eastAsia"/>
          <w:color w:val="000000" w:themeColor="text1"/>
          <w:szCs w:val="32"/>
        </w:rPr>
        <w:t>（一）强化招标人的主体责任。</w:t>
      </w:r>
    </w:p>
    <w:p w:rsidR="004A1954" w:rsidRDefault="00D32E6A">
      <w:pPr>
        <w:spacing w:line="530" w:lineRule="exact"/>
        <w:ind w:firstLine="640"/>
        <w:rPr>
          <w:rFonts w:ascii="仿宋_GB2312" w:eastAsia="仿宋_GB2312" w:hAnsi="仿宋_GB2312" w:cs="仿宋_GB2312"/>
          <w:color w:val="000000" w:themeColor="text1"/>
          <w:spacing w:val="-6"/>
          <w:szCs w:val="32"/>
        </w:rPr>
      </w:pPr>
      <w:r>
        <w:rPr>
          <w:rFonts w:ascii="仿宋_GB2312" w:eastAsia="仿宋_GB2312" w:hAnsi="仿宋_GB2312" w:cs="仿宋_GB2312" w:hint="eastAsia"/>
          <w:color w:val="000000" w:themeColor="text1"/>
          <w:spacing w:val="-6"/>
          <w:szCs w:val="32"/>
        </w:rPr>
        <w:t>公共资源招标投标活动依法应由招标人负责，招标人自主决定发起招标，自主选择工程建设项目招标代理机构，鼓励通过遴选等竞争方式选取水平高、专业性强的中介服务机构代理招标业务。</w:t>
      </w:r>
    </w:p>
    <w:p w:rsidR="004A1954" w:rsidRDefault="00D32E6A">
      <w:pPr>
        <w:spacing w:line="530" w:lineRule="exact"/>
        <w:ind w:firstLineChars="200" w:firstLine="608"/>
        <w:rPr>
          <w:rFonts w:ascii="仿宋_GB2312" w:eastAsia="仿宋_GB2312" w:hAnsi="仿宋_GB2312" w:cs="仿宋_GB2312"/>
          <w:color w:val="000000" w:themeColor="text1"/>
          <w:spacing w:val="-6"/>
          <w:szCs w:val="32"/>
        </w:rPr>
      </w:pPr>
      <w:r>
        <w:rPr>
          <w:rFonts w:ascii="仿宋_GB2312" w:eastAsia="仿宋_GB2312" w:hAnsi="仿宋_GB2312" w:cs="仿宋_GB2312" w:hint="eastAsia"/>
          <w:color w:val="000000" w:themeColor="text1"/>
          <w:spacing w:val="-6"/>
          <w:szCs w:val="32"/>
        </w:rPr>
        <w:t>招标人是招标行为规范的责任主体，认真负责履行</w:t>
      </w:r>
      <w:r>
        <w:rPr>
          <w:rFonts w:ascii="仿宋_GB2312" w:eastAsia="仿宋_GB2312" w:hAnsi="仿宋_GB2312" w:cs="仿宋_GB2312" w:hint="eastAsia"/>
          <w:color w:val="000000" w:themeColor="text1"/>
          <w:szCs w:val="32"/>
        </w:rPr>
        <w:t>合法性审查</w:t>
      </w:r>
      <w:r>
        <w:rPr>
          <w:rFonts w:ascii="仿宋_GB2312" w:eastAsia="仿宋_GB2312" w:hAnsi="仿宋_GB2312" w:cs="仿宋_GB2312" w:hint="eastAsia"/>
          <w:color w:val="000000" w:themeColor="text1"/>
          <w:szCs w:val="32"/>
        </w:rPr>
        <w:lastRenderedPageBreak/>
        <w:t>责任，必</w:t>
      </w:r>
      <w:r>
        <w:rPr>
          <w:rFonts w:ascii="仿宋_GB2312" w:eastAsia="仿宋_GB2312" w:hAnsi="仿宋_GB2312" w:cs="仿宋_GB2312" w:hint="eastAsia"/>
          <w:color w:val="000000" w:themeColor="text1"/>
          <w:spacing w:val="-6"/>
          <w:szCs w:val="32"/>
        </w:rPr>
        <w:t>须严格执行招标投标有关法律法规和规章制度，依法规范开展招标活动，不得设置与招标工程的具体特点和实际需要不相适应或者与合同履行无关的不合理条件或加分条款限制、排斥潜在投标人，不得与投标人串通投标，不得干预评标或违规确定中标人。</w:t>
      </w:r>
    </w:p>
    <w:p w:rsidR="004A1954" w:rsidRDefault="00D32E6A">
      <w:pPr>
        <w:spacing w:line="530" w:lineRule="exact"/>
        <w:ind w:firstLineChars="200" w:firstLine="608"/>
        <w:rPr>
          <w:rFonts w:ascii="仿宋_GB2312" w:eastAsia="仿宋_GB2312" w:hAnsi="仿宋_GB2312" w:cs="仿宋_GB2312"/>
          <w:spacing w:val="-6"/>
          <w:szCs w:val="32"/>
        </w:rPr>
      </w:pPr>
      <w:r>
        <w:rPr>
          <w:rFonts w:ascii="仿宋_GB2312" w:eastAsia="仿宋_GB2312" w:hAnsi="仿宋_GB2312" w:cs="仿宋_GB2312" w:hint="eastAsia"/>
          <w:color w:val="000000" w:themeColor="text1"/>
          <w:spacing w:val="-6"/>
          <w:szCs w:val="32"/>
        </w:rPr>
        <w:t>招标人须</w:t>
      </w:r>
      <w:r>
        <w:rPr>
          <w:rFonts w:ascii="仿宋_GB2312" w:eastAsia="仿宋_GB2312" w:hAnsi="仿宋_GB2312" w:cs="仿宋_GB2312" w:hint="eastAsia"/>
          <w:color w:val="000000" w:themeColor="text1"/>
          <w:szCs w:val="32"/>
        </w:rPr>
        <w:t>受理并</w:t>
      </w:r>
      <w:r>
        <w:rPr>
          <w:rFonts w:ascii="仿宋_GB2312" w:eastAsia="仿宋_GB2312" w:hAnsi="仿宋_GB2312" w:cs="仿宋_GB2312" w:hint="eastAsia"/>
          <w:color w:val="000000" w:themeColor="text1"/>
          <w:spacing w:val="-6"/>
          <w:szCs w:val="32"/>
        </w:rPr>
        <w:t>依法妥善</w:t>
      </w:r>
      <w:r>
        <w:rPr>
          <w:rFonts w:ascii="仿宋_GB2312" w:eastAsia="仿宋_GB2312" w:hAnsi="仿宋_GB2312" w:cs="仿宋_GB2312" w:hint="eastAsia"/>
          <w:color w:val="000000" w:themeColor="text1"/>
          <w:szCs w:val="32"/>
        </w:rPr>
        <w:t>处理招标过程中的质疑和异议等争议，并及</w:t>
      </w:r>
      <w:r>
        <w:rPr>
          <w:rFonts w:ascii="仿宋_GB2312" w:eastAsia="仿宋_GB2312" w:hAnsi="仿宋_GB2312" w:cs="仿宋_GB2312" w:hint="eastAsia"/>
          <w:color w:val="000000" w:themeColor="text1"/>
          <w:spacing w:val="-6"/>
          <w:szCs w:val="32"/>
        </w:rPr>
        <w:t>时按照法定程序进行书面回复</w:t>
      </w:r>
      <w:r>
        <w:rPr>
          <w:rFonts w:ascii="仿宋_GB2312" w:eastAsia="仿宋_GB2312" w:hAnsi="仿宋_GB2312" w:cs="仿宋_GB2312" w:hint="eastAsia"/>
          <w:spacing w:val="-6"/>
          <w:szCs w:val="32"/>
        </w:rPr>
        <w:t>。</w:t>
      </w:r>
      <w:r>
        <w:rPr>
          <w:rFonts w:ascii="仿宋_GB2312" w:eastAsia="仿宋_GB2312" w:hAnsi="仿宋_GB2312" w:cs="仿宋_GB2312" w:hint="eastAsia"/>
          <w:spacing w:val="-6"/>
          <w:szCs w:val="32"/>
        </w:rPr>
        <w:t>行业监督部门收到的涉及招标人和招标文件的异议或投诉举报，同步抄送招标人上级管理部门，并向纪检监察机关备案。发现的党员干部、国家公职人员违规干预、插手工程招投标或在招投标工作中贪污受贿、失职渎职等违纪违法问题，一律按规定移交纪检监察机关处理。</w:t>
      </w:r>
    </w:p>
    <w:p w:rsidR="004A1954" w:rsidRDefault="00D32E6A">
      <w:pPr>
        <w:spacing w:line="530" w:lineRule="exact"/>
        <w:ind w:firstLineChars="100" w:firstLine="316"/>
        <w:rPr>
          <w:rFonts w:ascii="楷体" w:eastAsia="楷体" w:hAnsi="楷体" w:cs="楷体"/>
          <w:szCs w:val="32"/>
        </w:rPr>
      </w:pPr>
      <w:r>
        <w:rPr>
          <w:rFonts w:ascii="楷体" w:eastAsia="楷体" w:hAnsi="楷体" w:cs="楷体" w:hint="eastAsia"/>
          <w:szCs w:val="32"/>
        </w:rPr>
        <w:t>（二）加强中介服务机构的管理。</w:t>
      </w:r>
    </w:p>
    <w:p w:rsidR="004A1954" w:rsidRDefault="00D32E6A">
      <w:pPr>
        <w:widowControl/>
        <w:tabs>
          <w:tab w:val="left" w:pos="720"/>
        </w:tabs>
        <w:spacing w:line="530" w:lineRule="exact"/>
        <w:ind w:firstLineChars="200" w:firstLine="634"/>
        <w:jc w:val="left"/>
        <w:rPr>
          <w:rFonts w:ascii="仿宋_GB2312" w:eastAsia="仿宋_GB2312" w:hAnsi="仿宋_GB2312" w:cs="仿宋_GB2312"/>
          <w:color w:val="000000" w:themeColor="text1"/>
          <w:kern w:val="0"/>
          <w:szCs w:val="32"/>
        </w:rPr>
      </w:pPr>
      <w:r>
        <w:rPr>
          <w:rFonts w:ascii="仿宋" w:hAnsi="仿宋" w:cs="仿宋" w:hint="eastAsia"/>
          <w:b/>
          <w:bCs/>
          <w:color w:val="000000" w:themeColor="text1"/>
          <w:szCs w:val="32"/>
        </w:rPr>
        <w:t>1</w:t>
      </w:r>
      <w:r>
        <w:rPr>
          <w:rFonts w:ascii="仿宋" w:hAnsi="仿宋" w:cs="仿宋" w:hint="eastAsia"/>
          <w:b/>
          <w:bCs/>
          <w:color w:val="000000" w:themeColor="text1"/>
          <w:szCs w:val="32"/>
        </w:rPr>
        <w:t>、压实中介机构的代理责任。</w:t>
      </w:r>
      <w:r>
        <w:rPr>
          <w:rFonts w:ascii="仿宋_GB2312" w:eastAsia="仿宋_GB2312" w:hAnsi="仿宋_GB2312" w:cs="仿宋_GB2312" w:hint="eastAsia"/>
          <w:b/>
          <w:bCs/>
          <w:color w:val="000000" w:themeColor="text1"/>
          <w:szCs w:val="32"/>
        </w:rPr>
        <w:t>一是</w:t>
      </w:r>
      <w:r>
        <w:rPr>
          <w:rFonts w:ascii="仿宋_GB2312" w:eastAsia="仿宋_GB2312" w:hAnsi="仿宋_GB2312" w:cs="仿宋_GB2312" w:hint="eastAsia"/>
          <w:color w:val="000000" w:themeColor="text1"/>
          <w:szCs w:val="32"/>
        </w:rPr>
        <w:t>法定代理责任。招标代理机构在代理招标业务前须与招标人签订代理合同，取得授权后方可开展代理业务。并在招标人委托的范围内办理招标事宜，遵守法律法规中有关招标人的规定，</w:t>
      </w:r>
      <w:r>
        <w:rPr>
          <w:rFonts w:ascii="仿宋_GB2312" w:eastAsia="仿宋_GB2312" w:hAnsi="仿宋_GB2312" w:cs="仿宋_GB2312" w:hint="eastAsia"/>
          <w:color w:val="000000" w:themeColor="text1"/>
          <w:kern w:val="0"/>
          <w:szCs w:val="32"/>
        </w:rPr>
        <w:t>不得与所代理招标工程的招标人有隶属关系、合作经营关系以及其他利益关系。</w:t>
      </w:r>
      <w:r>
        <w:rPr>
          <w:rFonts w:ascii="仿宋_GB2312" w:eastAsia="仿宋_GB2312" w:hAnsi="仿宋_GB2312" w:cs="仿宋_GB2312" w:hint="eastAsia"/>
          <w:b/>
          <w:bCs/>
          <w:color w:val="000000" w:themeColor="text1"/>
          <w:szCs w:val="32"/>
        </w:rPr>
        <w:t>二是</w:t>
      </w:r>
      <w:r>
        <w:rPr>
          <w:rFonts w:ascii="仿宋_GB2312" w:eastAsia="仿宋_GB2312" w:hAnsi="仿宋_GB2312" w:cs="仿宋_GB2312" w:hint="eastAsia"/>
          <w:color w:val="000000" w:themeColor="text1"/>
          <w:szCs w:val="32"/>
        </w:rPr>
        <w:t>合法性审查责任。代理机构配合招标人对编制的资格预审文件、招标文件等招标资料的合法性、准确性负责，</w:t>
      </w:r>
      <w:r>
        <w:rPr>
          <w:rFonts w:ascii="仿宋_GB2312" w:eastAsia="仿宋_GB2312" w:hAnsi="仿宋_GB2312" w:cs="仿宋_GB2312" w:hint="eastAsia"/>
          <w:color w:val="000000" w:themeColor="text1"/>
          <w:spacing w:val="2"/>
          <w:kern w:val="0"/>
          <w:szCs w:val="32"/>
        </w:rPr>
        <w:t>对招标代理过程中的违法违规行为和过失负责。</w:t>
      </w:r>
      <w:r>
        <w:rPr>
          <w:rFonts w:ascii="仿宋_GB2312" w:eastAsia="仿宋_GB2312" w:hAnsi="仿宋_GB2312" w:cs="仿宋_GB2312" w:hint="eastAsia"/>
          <w:b/>
          <w:bCs/>
          <w:color w:val="000000" w:themeColor="text1"/>
          <w:spacing w:val="2"/>
          <w:kern w:val="0"/>
          <w:szCs w:val="32"/>
        </w:rPr>
        <w:t>三是</w:t>
      </w:r>
      <w:r>
        <w:rPr>
          <w:rFonts w:ascii="仿宋_GB2312" w:eastAsia="仿宋_GB2312" w:hAnsi="仿宋_GB2312" w:cs="仿宋_GB2312" w:hint="eastAsia"/>
          <w:color w:val="000000" w:themeColor="text1"/>
          <w:spacing w:val="2"/>
          <w:kern w:val="0"/>
          <w:szCs w:val="32"/>
        </w:rPr>
        <w:t>协调处理招投标争议的责任。代表招标人依法受理招投标中的质疑、异议等，协助招标人作好答疑和书面回复；反映和举报招标投标活动中的违法违规行为，配合有关行政监督部门依法进行的检查及调查；协助综合监督部门和有关行政监督部门处理投诉和举报。</w:t>
      </w:r>
    </w:p>
    <w:p w:rsidR="004A1954" w:rsidRDefault="00D32E6A">
      <w:pPr>
        <w:widowControl/>
        <w:spacing w:line="530" w:lineRule="exact"/>
        <w:ind w:firstLineChars="200" w:firstLine="634"/>
        <w:rPr>
          <w:rFonts w:ascii="仿宋_GB2312" w:eastAsia="仿宋_GB2312" w:hAnsi="仿宋_GB2312" w:cs="仿宋_GB2312"/>
          <w:color w:val="000000" w:themeColor="text1"/>
          <w:szCs w:val="32"/>
        </w:rPr>
      </w:pPr>
      <w:r>
        <w:rPr>
          <w:rFonts w:ascii="仿宋_GB2312" w:eastAsia="仿宋_GB2312" w:hAnsi="仿宋_GB2312" w:cs="仿宋_GB2312" w:hint="eastAsia"/>
          <w:b/>
          <w:bCs/>
          <w:color w:val="000000" w:themeColor="text1"/>
          <w:szCs w:val="32"/>
        </w:rPr>
        <w:lastRenderedPageBreak/>
        <w:t>2</w:t>
      </w:r>
      <w:r>
        <w:rPr>
          <w:rFonts w:ascii="仿宋_GB2312" w:eastAsia="仿宋_GB2312" w:hAnsi="仿宋_GB2312" w:cs="仿宋_GB2312" w:hint="eastAsia"/>
          <w:b/>
          <w:bCs/>
          <w:color w:val="000000" w:themeColor="text1"/>
          <w:szCs w:val="32"/>
        </w:rPr>
        <w:t>、规范代理机构从业行为</w:t>
      </w:r>
      <w:r>
        <w:rPr>
          <w:rFonts w:ascii="仿宋_GB2312" w:eastAsia="仿宋_GB2312" w:hAnsi="仿宋_GB2312" w:cs="仿宋_GB2312" w:hint="eastAsia"/>
          <w:color w:val="000000" w:themeColor="text1"/>
          <w:szCs w:val="32"/>
        </w:rPr>
        <w:t>。</w:t>
      </w:r>
      <w:r>
        <w:rPr>
          <w:rFonts w:ascii="仿宋_GB2312" w:eastAsia="仿宋_GB2312" w:hAnsi="仿宋_GB2312" w:cs="仿宋_GB2312" w:hint="eastAsia"/>
          <w:b/>
          <w:bCs/>
          <w:color w:val="000000" w:themeColor="text1"/>
          <w:szCs w:val="32"/>
        </w:rPr>
        <w:t>一是</w:t>
      </w:r>
      <w:r>
        <w:rPr>
          <w:rFonts w:ascii="仿宋_GB2312" w:eastAsia="仿宋_GB2312" w:hAnsi="仿宋_GB2312" w:cs="仿宋_GB2312" w:hint="eastAsia"/>
          <w:color w:val="000000" w:themeColor="text1"/>
          <w:szCs w:val="32"/>
        </w:rPr>
        <w:t>组织宣传培训。定期开展法律法规及招标采购业务培训，组织从业人员进行岗位能力测试，提高从业水平，提升业务办理能力。</w:t>
      </w:r>
      <w:r>
        <w:rPr>
          <w:rFonts w:ascii="仿宋_GB2312" w:eastAsia="仿宋_GB2312" w:hAnsi="仿宋_GB2312" w:cs="仿宋_GB2312" w:hint="eastAsia"/>
          <w:b/>
          <w:bCs/>
          <w:color w:val="000000" w:themeColor="text1"/>
          <w:szCs w:val="32"/>
        </w:rPr>
        <w:t>二是</w:t>
      </w:r>
      <w:r>
        <w:rPr>
          <w:rFonts w:ascii="仿宋_GB2312" w:eastAsia="仿宋_GB2312" w:hAnsi="仿宋_GB2312" w:cs="仿宋_GB2312" w:hint="eastAsia"/>
          <w:color w:val="000000" w:themeColor="text1"/>
          <w:szCs w:val="32"/>
        </w:rPr>
        <w:t>开展警示教育。除了将公安部门查处的围标串标、虚假招标等典型案例视频进行播放外，还将定期通报全国各地招投标违法违规查处案例，增强对法律法</w:t>
      </w:r>
      <w:r>
        <w:rPr>
          <w:rFonts w:ascii="仿宋_GB2312" w:eastAsia="仿宋_GB2312" w:hAnsi="仿宋_GB2312" w:cs="仿宋_GB2312" w:hint="eastAsia"/>
          <w:color w:val="000000" w:themeColor="text1"/>
          <w:szCs w:val="32"/>
        </w:rPr>
        <w:t>规的敬畏心，使其能自觉抵制业主提出的一些不合理要求和限制。</w:t>
      </w:r>
      <w:r>
        <w:rPr>
          <w:rFonts w:ascii="仿宋_GB2312" w:eastAsia="仿宋_GB2312" w:hAnsi="仿宋_GB2312" w:cs="仿宋_GB2312" w:hint="eastAsia"/>
          <w:b/>
          <w:bCs/>
          <w:color w:val="000000" w:themeColor="text1"/>
          <w:szCs w:val="32"/>
        </w:rPr>
        <w:t>三是</w:t>
      </w:r>
      <w:r>
        <w:rPr>
          <w:rFonts w:ascii="仿宋_GB2312" w:eastAsia="仿宋_GB2312" w:hAnsi="仿宋_GB2312" w:cs="仿宋_GB2312" w:hint="eastAsia"/>
          <w:color w:val="000000" w:themeColor="text1"/>
          <w:szCs w:val="32"/>
        </w:rPr>
        <w:t>明确招标资格设定标准。资质设定必须严格按照现行的《工程设计与施工企业资质等级标准》执行，不得擅自提高或降低资质要求。</w:t>
      </w:r>
      <w:r>
        <w:rPr>
          <w:rFonts w:ascii="仿宋_GB2312" w:eastAsia="仿宋_GB2312" w:hAnsi="仿宋_GB2312" w:cs="仿宋_GB2312" w:hint="eastAsia"/>
          <w:color w:val="000000" w:themeColor="text1"/>
          <w:kern w:val="0"/>
          <w:szCs w:val="32"/>
          <w:lang w:bidi="ar"/>
        </w:rPr>
        <w:t>国家对招标项目的技术有强制性国家标准的，应当在招标文件中提出相应要求；有推荐性国家标准、行业标准、</w:t>
      </w:r>
      <w:r>
        <w:rPr>
          <w:rFonts w:ascii="仿宋_GB2312" w:eastAsia="仿宋_GB2312" w:hAnsi="仿宋_GB2312" w:cs="仿宋_GB2312" w:hint="eastAsia"/>
          <w:color w:val="000000" w:themeColor="text1"/>
          <w:kern w:val="0"/>
          <w:szCs w:val="32"/>
          <w:lang w:bidi="ar"/>
        </w:rPr>
        <w:t xml:space="preserve"> </w:t>
      </w:r>
      <w:r>
        <w:rPr>
          <w:rFonts w:ascii="仿宋_GB2312" w:eastAsia="仿宋_GB2312" w:hAnsi="仿宋_GB2312" w:cs="仿宋_GB2312" w:hint="eastAsia"/>
          <w:color w:val="000000" w:themeColor="text1"/>
          <w:kern w:val="0"/>
          <w:szCs w:val="32"/>
          <w:lang w:bidi="ar"/>
        </w:rPr>
        <w:t>地方标准的，鼓励在招标文件中采用。</w:t>
      </w:r>
      <w:r>
        <w:rPr>
          <w:rFonts w:ascii="仿宋_GB2312" w:eastAsia="仿宋_GB2312" w:hAnsi="仿宋_GB2312" w:cs="仿宋_GB2312" w:hint="eastAsia"/>
          <w:b/>
          <w:bCs/>
          <w:color w:val="000000" w:themeColor="text1"/>
          <w:kern w:val="0"/>
          <w:szCs w:val="32"/>
          <w:lang w:bidi="ar"/>
        </w:rPr>
        <w:t>四是</w:t>
      </w:r>
      <w:r>
        <w:rPr>
          <w:rFonts w:ascii="仿宋_GB2312" w:eastAsia="仿宋_GB2312" w:hAnsi="仿宋_GB2312" w:cs="仿宋_GB2312" w:hint="eastAsia"/>
          <w:color w:val="000000" w:themeColor="text1"/>
          <w:szCs w:val="32"/>
        </w:rPr>
        <w:t>严格管理评标过程。</w:t>
      </w:r>
      <w:r>
        <w:rPr>
          <w:rFonts w:ascii="仿宋_GB2312" w:eastAsia="仿宋_GB2312" w:hAnsi="仿宋_GB2312" w:cs="仿宋_GB2312" w:hint="eastAsia"/>
          <w:color w:val="000000" w:themeColor="text1"/>
          <w:kern w:val="0"/>
          <w:szCs w:val="32"/>
          <w:lang w:bidi="ar"/>
        </w:rPr>
        <w:t>评标过程中，除评标委员会提出要求，代理机构工作人员不得进入评标现场，应邀进入评标室进行说明时不得明示或暗示评标委员会成员作出意向性的评定。所有招投标资料的收集、整理，非电子标的分数计算、汇总须在全方位视频监控下进行。</w:t>
      </w:r>
      <w:r>
        <w:rPr>
          <w:rFonts w:ascii="仿宋_GB2312" w:eastAsia="仿宋_GB2312" w:hAnsi="仿宋_GB2312" w:cs="仿宋_GB2312" w:hint="eastAsia"/>
          <w:b/>
          <w:bCs/>
          <w:color w:val="000000" w:themeColor="text1"/>
          <w:szCs w:val="32"/>
        </w:rPr>
        <w:t>五是</w:t>
      </w:r>
      <w:r>
        <w:rPr>
          <w:rFonts w:ascii="仿宋_GB2312" w:eastAsia="仿宋_GB2312" w:hAnsi="仿宋_GB2312" w:cs="仿宋_GB2312" w:hint="eastAsia"/>
          <w:color w:val="000000" w:themeColor="text1"/>
          <w:szCs w:val="32"/>
        </w:rPr>
        <w:t>严格控制招标程序。公共资源交易中心在审核通过招标项目时不得缩减必备材料，法定程序不得减免，挂网时间统一执行</w:t>
      </w:r>
      <w:r>
        <w:rPr>
          <w:rFonts w:ascii="仿宋_GB2312" w:eastAsia="仿宋_GB2312" w:hAnsi="仿宋_GB2312" w:cs="仿宋_GB2312" w:hint="eastAsia"/>
          <w:color w:val="000000" w:themeColor="text1"/>
          <w:szCs w:val="32"/>
        </w:rPr>
        <w:t>20</w:t>
      </w:r>
      <w:r>
        <w:rPr>
          <w:rFonts w:ascii="仿宋_GB2312" w:eastAsia="仿宋_GB2312" w:hAnsi="仿宋_GB2312" w:cs="仿宋_GB2312" w:hint="eastAsia"/>
          <w:color w:val="000000" w:themeColor="text1"/>
          <w:szCs w:val="32"/>
        </w:rPr>
        <w:t>个自然日。</w:t>
      </w:r>
      <w:r>
        <w:rPr>
          <w:rFonts w:ascii="仿宋_GB2312" w:eastAsia="仿宋_GB2312" w:hAnsi="仿宋_GB2312" w:cs="仿宋_GB2312" w:hint="eastAsia"/>
          <w:b/>
          <w:bCs/>
          <w:color w:val="000000" w:themeColor="text1"/>
          <w:szCs w:val="32"/>
        </w:rPr>
        <w:t>六是</w:t>
      </w:r>
      <w:r>
        <w:rPr>
          <w:rFonts w:ascii="仿宋_GB2312" w:eastAsia="仿宋_GB2312" w:hAnsi="仿宋_GB2312" w:cs="仿宋_GB2312" w:hint="eastAsia"/>
          <w:color w:val="000000" w:themeColor="text1"/>
          <w:szCs w:val="32"/>
        </w:rPr>
        <w:t>进一步规范收费行为。招标代理机构应当按照相关的法律法规收取，全流程电子招投标不得向投标人或中标人收取任何费用，非电子招投标的，按物价部门规定收取，不得向投标人或中标人附</w:t>
      </w:r>
      <w:r>
        <w:rPr>
          <w:rFonts w:ascii="仿宋_GB2312" w:eastAsia="仿宋_GB2312" w:hAnsi="仿宋_GB2312" w:cs="仿宋_GB2312" w:hint="eastAsia"/>
          <w:color w:val="000000" w:themeColor="text1"/>
          <w:szCs w:val="32"/>
        </w:rPr>
        <w:t>加任何不合理的条件或收取任何额外费用。</w:t>
      </w:r>
      <w:r>
        <w:rPr>
          <w:rFonts w:ascii="仿宋_GB2312" w:eastAsia="仿宋_GB2312" w:hAnsi="仿宋_GB2312" w:cs="仿宋_GB2312" w:hint="eastAsia"/>
          <w:b/>
          <w:bCs/>
          <w:color w:val="000000" w:themeColor="text1"/>
          <w:szCs w:val="32"/>
        </w:rPr>
        <w:t>七是</w:t>
      </w:r>
      <w:r>
        <w:rPr>
          <w:rFonts w:ascii="仿宋_GB2312" w:eastAsia="仿宋_GB2312" w:hAnsi="仿宋_GB2312" w:cs="仿宋_GB2312" w:hint="eastAsia"/>
          <w:color w:val="000000" w:themeColor="text1"/>
          <w:szCs w:val="32"/>
        </w:rPr>
        <w:t>实行动态管理。建立违法违规行为查处及信用评价机制，落实红黑名单制，对较重或严重违法违规行为限制其在本县内</w:t>
      </w:r>
      <w:r>
        <w:rPr>
          <w:rFonts w:ascii="仿宋_GB2312" w:eastAsia="仿宋_GB2312" w:hAnsi="仿宋_GB2312" w:cs="仿宋_GB2312" w:hint="eastAsia"/>
          <w:color w:val="000000" w:themeColor="text1"/>
          <w:szCs w:val="32"/>
        </w:rPr>
        <w:t>1-3</w:t>
      </w:r>
      <w:r>
        <w:rPr>
          <w:rFonts w:ascii="仿宋_GB2312" w:eastAsia="仿宋_GB2312" w:hAnsi="仿宋_GB2312" w:cs="仿宋_GB2312" w:hint="eastAsia"/>
          <w:color w:val="000000" w:themeColor="text1"/>
          <w:szCs w:val="32"/>
        </w:rPr>
        <w:t>年的业务开展。</w:t>
      </w:r>
      <w:r>
        <w:rPr>
          <w:rFonts w:ascii="仿宋_GB2312" w:eastAsia="仿宋_GB2312" w:hAnsi="仿宋_GB2312" w:cs="仿宋_GB2312" w:hint="eastAsia"/>
          <w:color w:val="000000" w:themeColor="text1"/>
          <w:szCs w:val="32"/>
        </w:rPr>
        <w:t xml:space="preserve">  </w:t>
      </w:r>
    </w:p>
    <w:p w:rsidR="004A1954" w:rsidRDefault="00D32E6A">
      <w:pPr>
        <w:spacing w:line="530" w:lineRule="exact"/>
        <w:ind w:firstLineChars="200" w:firstLine="632"/>
        <w:rPr>
          <w:rFonts w:ascii="楷体" w:eastAsia="楷体" w:hAnsi="楷体" w:cs="楷体"/>
          <w:color w:val="000000" w:themeColor="text1"/>
          <w:szCs w:val="32"/>
        </w:rPr>
      </w:pPr>
      <w:r>
        <w:rPr>
          <w:rFonts w:ascii="楷体" w:eastAsia="楷体" w:hAnsi="楷体" w:cs="楷体" w:hint="eastAsia"/>
          <w:color w:val="000000" w:themeColor="text1"/>
          <w:szCs w:val="32"/>
        </w:rPr>
        <w:t>（三）约束评标专家评审行为。</w:t>
      </w:r>
    </w:p>
    <w:p w:rsidR="004A1954" w:rsidRDefault="00D32E6A">
      <w:pPr>
        <w:spacing w:line="530" w:lineRule="exact"/>
        <w:ind w:firstLineChars="200" w:firstLine="634"/>
        <w:rPr>
          <w:rFonts w:ascii="仿宋_GB2312" w:eastAsia="仿宋_GB2312" w:hAnsi="仿宋_GB2312" w:cs="仿宋_GB2312"/>
          <w:color w:val="000000" w:themeColor="text1"/>
          <w:szCs w:val="32"/>
        </w:rPr>
      </w:pPr>
      <w:r>
        <w:rPr>
          <w:rFonts w:ascii="仿宋_GB2312" w:eastAsia="仿宋_GB2312" w:hAnsi="仿宋_GB2312" w:cs="仿宋_GB2312" w:hint="eastAsia"/>
          <w:b/>
          <w:bCs/>
          <w:color w:val="000000" w:themeColor="text1"/>
          <w:szCs w:val="32"/>
        </w:rPr>
        <w:lastRenderedPageBreak/>
        <w:t>1</w:t>
      </w:r>
      <w:r>
        <w:rPr>
          <w:rFonts w:ascii="仿宋_GB2312" w:eastAsia="仿宋_GB2312" w:hAnsi="仿宋_GB2312" w:cs="仿宋_GB2312" w:hint="eastAsia"/>
          <w:b/>
          <w:bCs/>
          <w:color w:val="000000" w:themeColor="text1"/>
          <w:szCs w:val="32"/>
        </w:rPr>
        <w:t>、优化评审专家资源配置</w:t>
      </w:r>
      <w:r>
        <w:rPr>
          <w:rFonts w:ascii="仿宋_GB2312" w:eastAsia="仿宋_GB2312" w:hAnsi="仿宋_GB2312" w:cs="仿宋_GB2312" w:hint="eastAsia"/>
          <w:color w:val="000000" w:themeColor="text1"/>
          <w:szCs w:val="32"/>
        </w:rPr>
        <w:t>。一是对本县评标专家库现有的专家进行清理。按照《湖北省评标（评审）专家及专家库管理办法》以及省公共资源局《关于落实</w:t>
      </w:r>
      <w:r>
        <w:rPr>
          <w:rFonts w:ascii="仿宋_GB2312" w:eastAsia="仿宋_GB2312" w:hAnsi="仿宋_GB2312" w:cs="仿宋_GB2312" w:hint="eastAsia"/>
          <w:color w:val="000000" w:themeColor="text1"/>
          <w:szCs w:val="32"/>
        </w:rPr>
        <w:t>&lt;</w:t>
      </w:r>
      <w:r>
        <w:rPr>
          <w:rFonts w:ascii="仿宋_GB2312" w:eastAsia="仿宋_GB2312" w:hAnsi="仿宋_GB2312" w:cs="仿宋_GB2312" w:hint="eastAsia"/>
          <w:color w:val="000000" w:themeColor="text1"/>
          <w:szCs w:val="32"/>
        </w:rPr>
        <w:t>湖北省评标（评审）专家及专家库管理办法</w:t>
      </w:r>
      <w:r>
        <w:rPr>
          <w:rFonts w:ascii="仿宋_GB2312" w:eastAsia="仿宋_GB2312" w:hAnsi="仿宋_GB2312" w:cs="仿宋_GB2312" w:hint="eastAsia"/>
          <w:color w:val="000000" w:themeColor="text1"/>
          <w:szCs w:val="32"/>
        </w:rPr>
        <w:t>&gt;</w:t>
      </w:r>
      <w:r>
        <w:rPr>
          <w:rFonts w:ascii="仿宋_GB2312" w:eastAsia="仿宋_GB2312" w:hAnsi="仿宋_GB2312" w:cs="仿宋_GB2312" w:hint="eastAsia"/>
          <w:color w:val="000000" w:themeColor="text1"/>
          <w:szCs w:val="32"/>
        </w:rPr>
        <w:t>加强对评标专家和专家库监管的通知》要求，对不符合专家准入条件、不按规定评标、长期无故不参加评标、无故迟到早退影响评标进程等专家，采取记录、通报、劝退等方式进行清理整顿。二是扩充专家库。按照专家准入的条件和程序，在县内选聘责任心强、专业水平高的本土专家充实宣恩县专家子库。三是提升专家评标水平。每半年组织一次针对评标专家的评标业务知识培训，利用湖北省电子招投标云平台，将我县评标专家择优推送至省综合专家库，借助我县的地方评标专家子库与省评标专家抽取系统互联互通的优势，推行远程异地抽取和使用评标专家，通过互动交流提</w:t>
      </w:r>
      <w:r>
        <w:rPr>
          <w:rFonts w:ascii="仿宋_GB2312" w:eastAsia="仿宋_GB2312" w:hAnsi="仿宋_GB2312" w:cs="仿宋_GB2312" w:hint="eastAsia"/>
          <w:color w:val="000000" w:themeColor="text1"/>
          <w:szCs w:val="32"/>
        </w:rPr>
        <w:t>升评标素质，解决区域局限性导致的人情分、印象分的问题。四是</w:t>
      </w:r>
      <w:r w:rsidR="0094367F">
        <w:rPr>
          <w:rFonts w:ascii="仿宋_GB2312" w:eastAsia="仿宋_GB2312" w:hAnsi="仿宋_GB2312" w:cs="仿宋_GB2312" w:hint="eastAsia"/>
          <w:color w:val="000000" w:themeColor="text1"/>
          <w:szCs w:val="32"/>
        </w:rPr>
        <w:t>规定</w:t>
      </w:r>
      <w:bookmarkStart w:id="0" w:name="_GoBack"/>
      <w:bookmarkEnd w:id="0"/>
      <w:r>
        <w:rPr>
          <w:rFonts w:ascii="仿宋_GB2312" w:eastAsia="仿宋_GB2312" w:hAnsi="仿宋_GB2312" w:cs="仿宋_GB2312" w:hint="eastAsia"/>
          <w:color w:val="000000" w:themeColor="text1"/>
          <w:szCs w:val="32"/>
        </w:rPr>
        <w:t>评标专家数量。政府性投资项目，评标专家人数为</w:t>
      </w:r>
      <w:r>
        <w:rPr>
          <w:rFonts w:ascii="仿宋_GB2312" w:eastAsia="仿宋_GB2312" w:hAnsi="仿宋_GB2312" w:cs="仿宋_GB2312" w:hint="eastAsia"/>
          <w:color w:val="000000" w:themeColor="text1"/>
          <w:szCs w:val="32"/>
        </w:rPr>
        <w:t>5</w:t>
      </w:r>
      <w:r>
        <w:rPr>
          <w:rFonts w:ascii="仿宋_GB2312" w:eastAsia="仿宋_GB2312" w:hAnsi="仿宋_GB2312" w:cs="仿宋_GB2312" w:hint="eastAsia"/>
          <w:color w:val="000000" w:themeColor="text1"/>
          <w:szCs w:val="32"/>
        </w:rPr>
        <w:t>人以上的单数，其中技术、经济类的专家不得少于成员总数的三分之二，项目业主单位必须依法派代表参加评标。</w:t>
      </w:r>
    </w:p>
    <w:p w:rsidR="004A1954" w:rsidRDefault="00D32E6A">
      <w:pPr>
        <w:spacing w:line="530" w:lineRule="exact"/>
        <w:ind w:firstLineChars="250" w:firstLine="793"/>
        <w:rPr>
          <w:rFonts w:ascii="仿宋_GB2312" w:eastAsia="仿宋_GB2312" w:hAnsi="仿宋_GB2312" w:cs="仿宋_GB2312"/>
          <w:color w:val="000000" w:themeColor="text1"/>
          <w:szCs w:val="32"/>
        </w:rPr>
      </w:pPr>
      <w:r>
        <w:rPr>
          <w:rFonts w:ascii="仿宋_GB2312" w:eastAsia="仿宋_GB2312" w:hAnsi="仿宋_GB2312" w:cs="仿宋_GB2312" w:hint="eastAsia"/>
          <w:b/>
          <w:bCs/>
          <w:color w:val="000000" w:themeColor="text1"/>
          <w:szCs w:val="32"/>
        </w:rPr>
        <w:t>2</w:t>
      </w:r>
      <w:r>
        <w:rPr>
          <w:rFonts w:ascii="仿宋_GB2312" w:eastAsia="仿宋_GB2312" w:hAnsi="仿宋_GB2312" w:cs="仿宋_GB2312" w:hint="eastAsia"/>
          <w:b/>
          <w:bCs/>
          <w:color w:val="000000" w:themeColor="text1"/>
          <w:szCs w:val="32"/>
        </w:rPr>
        <w:t>、积极推行远程异地评标。</w:t>
      </w:r>
      <w:r>
        <w:rPr>
          <w:rFonts w:ascii="仿宋_GB2312" w:eastAsia="仿宋_GB2312" w:hAnsi="仿宋_GB2312" w:cs="仿宋_GB2312" w:hint="eastAsia"/>
          <w:color w:val="000000" w:themeColor="text1"/>
          <w:szCs w:val="32"/>
        </w:rPr>
        <w:t>依托湖北省公共资源交易电子服务平台的远程异地评标系统，将水利、交通、环保类项目采用远程异地评标，房建市政类项目，施工类单项合同估算价达到</w:t>
      </w:r>
      <w:r>
        <w:rPr>
          <w:rFonts w:ascii="仿宋_GB2312" w:eastAsia="仿宋_GB2312" w:hAnsi="仿宋_GB2312" w:cs="仿宋_GB2312" w:hint="eastAsia"/>
          <w:color w:val="000000" w:themeColor="text1"/>
          <w:szCs w:val="32"/>
        </w:rPr>
        <w:t>2000</w:t>
      </w:r>
      <w:r>
        <w:rPr>
          <w:rFonts w:ascii="仿宋_GB2312" w:eastAsia="仿宋_GB2312" w:hAnsi="仿宋_GB2312" w:cs="仿宋_GB2312" w:hint="eastAsia"/>
          <w:color w:val="000000" w:themeColor="text1"/>
          <w:szCs w:val="32"/>
        </w:rPr>
        <w:t>万元人民币以上的、设备材料等货物类单项合同估算价在</w:t>
      </w:r>
      <w:r>
        <w:rPr>
          <w:rFonts w:ascii="仿宋_GB2312" w:eastAsia="仿宋_GB2312" w:hAnsi="仿宋_GB2312" w:cs="仿宋_GB2312" w:hint="eastAsia"/>
          <w:color w:val="000000" w:themeColor="text1"/>
          <w:szCs w:val="32"/>
        </w:rPr>
        <w:t>500</w:t>
      </w:r>
      <w:r>
        <w:rPr>
          <w:rFonts w:ascii="仿宋_GB2312" w:eastAsia="仿宋_GB2312" w:hAnsi="仿宋_GB2312" w:cs="仿宋_GB2312" w:hint="eastAsia"/>
          <w:color w:val="000000" w:themeColor="text1"/>
          <w:szCs w:val="32"/>
        </w:rPr>
        <w:t>万元人民币以上、勘察设计监理等服务类项目单项合同估算价在</w:t>
      </w:r>
      <w:r>
        <w:rPr>
          <w:rFonts w:ascii="仿宋_GB2312" w:eastAsia="仿宋_GB2312" w:hAnsi="仿宋_GB2312" w:cs="仿宋_GB2312" w:hint="eastAsia"/>
          <w:color w:val="000000" w:themeColor="text1"/>
          <w:szCs w:val="32"/>
        </w:rPr>
        <w:t>100</w:t>
      </w:r>
      <w:r>
        <w:rPr>
          <w:rFonts w:ascii="仿宋_GB2312" w:eastAsia="仿宋_GB2312" w:hAnsi="仿宋_GB2312" w:cs="仿宋_GB2312" w:hint="eastAsia"/>
          <w:color w:val="000000" w:themeColor="text1"/>
          <w:szCs w:val="32"/>
        </w:rPr>
        <w:t>万元人民币以上</w:t>
      </w:r>
      <w:r>
        <w:rPr>
          <w:rFonts w:ascii="仿宋_GB2312" w:eastAsia="仿宋_GB2312" w:hAnsi="仿宋_GB2312" w:cs="仿宋_GB2312" w:hint="eastAsia"/>
          <w:color w:val="000000" w:themeColor="text1"/>
          <w:szCs w:val="32"/>
        </w:rPr>
        <w:t>的、或项目总投资额在</w:t>
      </w:r>
      <w:r>
        <w:rPr>
          <w:rFonts w:ascii="仿宋_GB2312" w:eastAsia="仿宋_GB2312" w:hAnsi="仿宋_GB2312" w:cs="仿宋_GB2312" w:hint="eastAsia"/>
          <w:color w:val="000000" w:themeColor="text1"/>
          <w:szCs w:val="32"/>
        </w:rPr>
        <w:t>1</w:t>
      </w:r>
      <w:r>
        <w:rPr>
          <w:rFonts w:ascii="仿宋_GB2312" w:eastAsia="仿宋_GB2312" w:hAnsi="仿宋_GB2312" w:cs="仿宋_GB2312" w:hint="eastAsia"/>
          <w:color w:val="000000" w:themeColor="text1"/>
          <w:szCs w:val="32"/>
        </w:rPr>
        <w:t>亿元人民币以上的项目实行远程异地评标，其它专业性强、技术要求复杂、社会关注高、影响比较大的项目，原则上实行远程异地评标。通过</w:t>
      </w:r>
      <w:r>
        <w:rPr>
          <w:rFonts w:ascii="仿宋_GB2312" w:eastAsia="仿宋_GB2312" w:hAnsi="仿宋_GB2312" w:cs="仿宋_GB2312" w:hint="eastAsia"/>
          <w:color w:val="000000" w:themeColor="text1"/>
          <w:szCs w:val="32"/>
        </w:rPr>
        <w:lastRenderedPageBreak/>
        <w:t>信息化手段和视频专用网络，解决专家库总量不足、分类专家较少，部分工程无法如期评标的隐患，以及围追堵截、威逼利诱评标专家等问题。远程异地评标客场专家人数应多于主场。</w:t>
      </w:r>
    </w:p>
    <w:p w:rsidR="004A1954" w:rsidRDefault="00D32E6A">
      <w:pPr>
        <w:pStyle w:val="a6"/>
        <w:widowControl/>
        <w:spacing w:beforeAutospacing="0" w:afterAutospacing="0" w:line="530" w:lineRule="exact"/>
        <w:ind w:firstLineChars="200" w:firstLine="632"/>
        <w:rPr>
          <w:rFonts w:ascii="黑体" w:eastAsia="黑体" w:hAnsi="黑体" w:cs="黑体"/>
          <w:color w:val="000000" w:themeColor="text1"/>
          <w:sz w:val="32"/>
          <w:szCs w:val="32"/>
        </w:rPr>
      </w:pPr>
      <w:r>
        <w:rPr>
          <w:rFonts w:ascii="黑体" w:eastAsia="黑体" w:hAnsi="黑体" w:cs="黑体" w:hint="eastAsia"/>
          <w:color w:val="000000" w:themeColor="text1"/>
          <w:sz w:val="32"/>
          <w:szCs w:val="32"/>
        </w:rPr>
        <w:t>二、建全制度，构建招投标市场保障体系</w:t>
      </w:r>
    </w:p>
    <w:p w:rsidR="004A1954" w:rsidRDefault="00D32E6A">
      <w:pPr>
        <w:pStyle w:val="a6"/>
        <w:widowControl/>
        <w:spacing w:beforeAutospacing="0" w:afterAutospacing="0" w:line="530" w:lineRule="exact"/>
        <w:ind w:firstLineChars="200" w:firstLine="632"/>
        <w:rPr>
          <w:rFonts w:ascii="仿宋_GB2312" w:eastAsia="仿宋_GB2312" w:hAnsi="仿宋_GB2312" w:cs="仿宋_GB2312"/>
          <w:color w:val="000000" w:themeColor="text1"/>
          <w:sz w:val="32"/>
          <w:szCs w:val="32"/>
        </w:rPr>
      </w:pPr>
      <w:r>
        <w:rPr>
          <w:rFonts w:ascii="楷体" w:eastAsia="楷体" w:hAnsi="楷体" w:cs="楷体" w:hint="eastAsia"/>
          <w:color w:val="000000" w:themeColor="text1"/>
          <w:kern w:val="2"/>
          <w:sz w:val="32"/>
          <w:szCs w:val="32"/>
        </w:rPr>
        <w:t>(</w:t>
      </w:r>
      <w:r>
        <w:rPr>
          <w:rFonts w:ascii="楷体" w:eastAsia="楷体" w:hAnsi="楷体" w:cs="楷体" w:hint="eastAsia"/>
          <w:color w:val="000000" w:themeColor="text1"/>
          <w:kern w:val="2"/>
          <w:sz w:val="32"/>
          <w:szCs w:val="32"/>
        </w:rPr>
        <w:t>一）清理制度文件</w:t>
      </w:r>
      <w:r>
        <w:rPr>
          <w:rFonts w:ascii="楷体" w:eastAsia="楷体" w:hAnsi="楷体" w:cs="楷体" w:hint="eastAsia"/>
          <w:color w:val="000000" w:themeColor="text1"/>
          <w:kern w:val="2"/>
          <w:sz w:val="32"/>
          <w:szCs w:val="32"/>
        </w:rPr>
        <w:t>,</w:t>
      </w:r>
      <w:r>
        <w:rPr>
          <w:rFonts w:ascii="楷体" w:eastAsia="楷体" w:hAnsi="楷体" w:cs="楷体" w:hint="eastAsia"/>
          <w:color w:val="000000" w:themeColor="text1"/>
          <w:kern w:val="2"/>
          <w:sz w:val="32"/>
          <w:szCs w:val="32"/>
        </w:rPr>
        <w:t>废除不合理限制。</w:t>
      </w:r>
      <w:r>
        <w:rPr>
          <w:rFonts w:ascii="仿宋_GB2312" w:eastAsia="仿宋_GB2312" w:hAnsi="仿宋_GB2312" w:cs="仿宋_GB2312" w:hint="eastAsia"/>
          <w:color w:val="000000" w:themeColor="text1"/>
          <w:sz w:val="32"/>
          <w:szCs w:val="32"/>
        </w:rPr>
        <w:t>根据《招投标法》、《行政许可法》、《优化营商环境条例》等有关规定，按照“谁起草、谁审查”的原则，定期对现期适用的制度文件进</w:t>
      </w:r>
      <w:r w:rsidR="0094367F">
        <w:rPr>
          <w:rFonts w:ascii="仿宋_GB2312" w:eastAsia="仿宋_GB2312" w:hAnsi="仿宋_GB2312" w:cs="仿宋_GB2312" w:hint="eastAsia"/>
          <w:color w:val="000000" w:themeColor="text1"/>
          <w:sz w:val="32"/>
          <w:szCs w:val="32"/>
        </w:rPr>
        <w:t>行</w:t>
      </w:r>
      <w:r>
        <w:rPr>
          <w:rFonts w:ascii="仿宋_GB2312" w:eastAsia="仿宋_GB2312" w:hAnsi="仿宋_GB2312" w:cs="仿宋_GB2312" w:hint="eastAsia"/>
          <w:color w:val="000000" w:themeColor="text1"/>
          <w:sz w:val="32"/>
          <w:szCs w:val="32"/>
        </w:rPr>
        <w:t>清理，开展合法性审查，纠正以特定行业的业绩作为投标中标条件、将社会机构对投标人作出的荣誉奖励和慈善公益证明作为投标中标条件、指定特定的商标品牌等各类不合理限制和市场壁垒。取消非法的投标许可、资质验证、注册登记等手续。打破行业垄断和地区封锁行为。</w:t>
      </w:r>
    </w:p>
    <w:p w:rsidR="004A1954" w:rsidRDefault="00D32E6A">
      <w:pPr>
        <w:spacing w:line="530" w:lineRule="exact"/>
        <w:ind w:firstLineChars="200" w:firstLine="632"/>
        <w:rPr>
          <w:rFonts w:ascii="仿宋_GB2312" w:eastAsia="仿宋_GB2312" w:hAnsi="仿宋_GB2312" w:cs="仿宋_GB2312"/>
          <w:color w:val="000000" w:themeColor="text1"/>
          <w:szCs w:val="32"/>
        </w:rPr>
      </w:pPr>
      <w:r>
        <w:rPr>
          <w:rFonts w:ascii="楷体" w:eastAsia="楷体" w:hAnsi="楷体" w:cs="楷体" w:hint="eastAsia"/>
          <w:color w:val="000000" w:themeColor="text1"/>
          <w:szCs w:val="32"/>
        </w:rPr>
        <w:t>（二）完善规则标准，保障市场运行。</w:t>
      </w:r>
      <w:r>
        <w:rPr>
          <w:rFonts w:ascii="仿宋_GB2312" w:eastAsia="仿宋_GB2312" w:hAnsi="仿宋_GB2312" w:cs="仿宋_GB2312" w:hint="eastAsia"/>
          <w:b/>
          <w:bCs/>
          <w:color w:val="000000" w:themeColor="text1"/>
          <w:szCs w:val="32"/>
        </w:rPr>
        <w:t>一是明确进场范围</w:t>
      </w:r>
      <w:r>
        <w:rPr>
          <w:rFonts w:ascii="仿宋_GB2312" w:eastAsia="仿宋_GB2312" w:hAnsi="仿宋_GB2312" w:cs="仿宋_GB2312" w:hint="eastAsia"/>
          <w:color w:val="000000" w:themeColor="text1"/>
          <w:szCs w:val="32"/>
        </w:rPr>
        <w:t>。《湖北省公共资源招标投标目录》内的项目应在公共资源交易中心进行交易。公共资源招标投标目录以外</w:t>
      </w:r>
      <w:r>
        <w:rPr>
          <w:rFonts w:ascii="仿宋_GB2312" w:eastAsia="仿宋_GB2312" w:hAnsi="仿宋_GB2312" w:cs="仿宋_GB2312" w:hint="eastAsia"/>
          <w:color w:val="000000" w:themeColor="text1"/>
          <w:szCs w:val="32"/>
        </w:rPr>
        <w:t>的项目，招标人可自愿选择是否在公共资源交易中心进行交易，招标人如果选择进场交易，就要接受监督管理，并遵守交易规则、交易程序。县公共资源交易中心应当对自愿进入的目录外项目进行规范化管理，并提供同等服务。</w:t>
      </w:r>
      <w:r>
        <w:rPr>
          <w:rFonts w:ascii="仿宋_GB2312" w:eastAsia="仿宋_GB2312" w:hAnsi="仿宋_GB2312" w:cs="仿宋_GB2312" w:hint="eastAsia"/>
          <w:b/>
          <w:bCs/>
          <w:color w:val="000000" w:themeColor="text1"/>
          <w:szCs w:val="32"/>
        </w:rPr>
        <w:t>二是统一交易平台运行规程</w:t>
      </w:r>
      <w:r>
        <w:rPr>
          <w:rFonts w:ascii="仿宋_GB2312" w:eastAsia="仿宋_GB2312" w:hAnsi="仿宋_GB2312" w:cs="仿宋_GB2312" w:hint="eastAsia"/>
          <w:color w:val="000000" w:themeColor="text1"/>
          <w:szCs w:val="32"/>
        </w:rPr>
        <w:t>。县公共资源交易中心制定发布县级公共资源交易平台运行规程，对招标项目登记、信息发布、操作流程进行统一。</w:t>
      </w:r>
      <w:r>
        <w:rPr>
          <w:rFonts w:ascii="仿宋_GB2312" w:eastAsia="仿宋_GB2312" w:hAnsi="仿宋_GB2312" w:cs="仿宋_GB2312" w:hint="eastAsia"/>
          <w:b/>
          <w:bCs/>
          <w:color w:val="000000" w:themeColor="text1"/>
          <w:szCs w:val="32"/>
        </w:rPr>
        <w:t>三是统一标准文件示范文本。</w:t>
      </w:r>
      <w:r>
        <w:rPr>
          <w:rFonts w:ascii="仿宋_GB2312" w:eastAsia="仿宋_GB2312" w:hAnsi="仿宋_GB2312" w:cs="仿宋_GB2312" w:hint="eastAsia"/>
          <w:color w:val="000000" w:themeColor="text1"/>
          <w:szCs w:val="32"/>
        </w:rPr>
        <w:t>编制依法必须招标的项目的资格预审文件和招标文件，必须使用国家发改委会同有关行政监督部门制定的标准文本。全流程电子招投标项目，可在湖北省公共资源交易平台提供的示范文本中选择相</w:t>
      </w:r>
      <w:r>
        <w:rPr>
          <w:rFonts w:ascii="仿宋_GB2312" w:eastAsia="仿宋_GB2312" w:hAnsi="仿宋_GB2312" w:cs="仿宋_GB2312" w:hint="eastAsia"/>
          <w:color w:val="000000" w:themeColor="text1"/>
          <w:szCs w:val="32"/>
        </w:rPr>
        <w:lastRenderedPageBreak/>
        <w:t>应类别的招标文件和评标办法。交通、水利、国土等行业部门另有文件规定的依据其规定。除没有评标办法可供使用而又有明确规定可自主制定评标办法的，招标人可依据相关法律法规自行制定评标办法。线下招标的项目，依据行业规定使用最新的标准招标文件或湖北省公共资源交易监督管理局会同行政监督部门制定的招标文件示范文本和评标办法。</w:t>
      </w:r>
      <w:r>
        <w:rPr>
          <w:rFonts w:ascii="仿宋_GB2312" w:eastAsia="仿宋_GB2312" w:hAnsi="仿宋_GB2312" w:cs="仿宋_GB2312" w:hint="eastAsia"/>
          <w:b/>
          <w:bCs/>
          <w:color w:val="000000" w:themeColor="text1"/>
          <w:szCs w:val="32"/>
        </w:rPr>
        <w:t>四是统一公示内容</w:t>
      </w:r>
      <w:r>
        <w:rPr>
          <w:rFonts w:ascii="仿宋_GB2312" w:eastAsia="仿宋_GB2312" w:hAnsi="仿宋_GB2312" w:cs="仿宋_GB2312" w:hint="eastAsia"/>
          <w:color w:val="000000" w:themeColor="text1"/>
          <w:szCs w:val="32"/>
        </w:rPr>
        <w:t>。招标项目的审</w:t>
      </w:r>
      <w:r>
        <w:rPr>
          <w:rFonts w:ascii="仿宋_GB2312" w:eastAsia="仿宋_GB2312" w:hAnsi="仿宋_GB2312" w:cs="仿宋_GB2312" w:hint="eastAsia"/>
          <w:color w:val="000000" w:themeColor="text1"/>
          <w:szCs w:val="32"/>
        </w:rPr>
        <w:t>批、核准部门应当在项目审批、核准之日起十日内，将项目审批核准确定的招标范围、招标方式、招标组织形式公示。具备法定招标条件的，资格预审公告、招标公告以及结果公示、中标公示应当在湖北省公共资源交易平台及宣恩县人民政府门户网同时发布，不同媒体发布的信息一致。</w:t>
      </w:r>
      <w:r>
        <w:rPr>
          <w:rFonts w:ascii="仿宋_GB2312" w:eastAsia="仿宋_GB2312" w:hAnsi="仿宋_GB2312" w:cs="仿宋_GB2312" w:hint="eastAsia"/>
          <w:b/>
          <w:bCs/>
          <w:color w:val="000000" w:themeColor="text1"/>
          <w:szCs w:val="32"/>
        </w:rPr>
        <w:t>五是统一信息资源</w:t>
      </w:r>
      <w:r>
        <w:rPr>
          <w:rFonts w:ascii="仿宋_GB2312" w:eastAsia="仿宋_GB2312" w:hAnsi="仿宋_GB2312" w:cs="仿宋_GB2312" w:hint="eastAsia"/>
          <w:color w:val="000000" w:themeColor="text1"/>
          <w:szCs w:val="32"/>
        </w:rPr>
        <w:t>。公共资源招投标各监管部门适时将公共资源交易政策法规信息、参与公共资源交易活动的市场主体信息、公共资源交易信息、评标评审专家信息、审批监管信息、信用信息以及公共资源相关数据统计等信息，建成信息共享备忘录，通过行业信息平台的互联互认达到互通共享，</w:t>
      </w:r>
      <w:r>
        <w:rPr>
          <w:rFonts w:ascii="仿宋_GB2312" w:eastAsia="仿宋_GB2312" w:hAnsi="仿宋_GB2312" w:cs="仿宋_GB2312" w:hint="eastAsia"/>
          <w:color w:val="000000" w:themeColor="text1"/>
          <w:szCs w:val="32"/>
        </w:rPr>
        <w:t>为公共资源招投标联合监管提供基础信息。</w:t>
      </w:r>
      <w:r>
        <w:rPr>
          <w:rFonts w:ascii="仿宋_GB2312" w:eastAsia="仿宋_GB2312" w:hAnsi="仿宋_GB2312" w:cs="仿宋_GB2312" w:hint="eastAsia"/>
          <w:b/>
          <w:bCs/>
          <w:color w:val="000000" w:themeColor="text1"/>
          <w:szCs w:val="32"/>
        </w:rPr>
        <w:t>六是统一资格审查方式</w:t>
      </w:r>
      <w:r>
        <w:rPr>
          <w:rFonts w:ascii="仿宋_GB2312" w:eastAsia="仿宋_GB2312" w:hAnsi="仿宋_GB2312" w:cs="仿宋_GB2312" w:hint="eastAsia"/>
          <w:color w:val="000000" w:themeColor="text1"/>
          <w:szCs w:val="32"/>
        </w:rPr>
        <w:t>。鼓励实行资格后审方式招标，对于大型基础设施、公用事业等关系社会公共利益、公众安全的项目，全部或者部分使用国有资金投资或者国家融资的项目，使用国际组织或者外国政府贷款、援助资金的项目，凡达到规定限额标准，原则上应采用资格后审方式进行招标，对于确有必要的部分重大项目报经县政府同意后可采用资格预审方式进行。</w:t>
      </w:r>
      <w:r>
        <w:rPr>
          <w:rFonts w:ascii="仿宋_GB2312" w:eastAsia="仿宋_GB2312" w:hAnsi="仿宋_GB2312" w:cs="仿宋_GB2312" w:hint="eastAsia"/>
          <w:b/>
          <w:bCs/>
          <w:color w:val="000000" w:themeColor="text1"/>
          <w:szCs w:val="32"/>
        </w:rPr>
        <w:t>七是统一备案管理。</w:t>
      </w:r>
      <w:r>
        <w:rPr>
          <w:rFonts w:ascii="仿宋_GB2312" w:eastAsia="仿宋_GB2312" w:hAnsi="仿宋_GB2312" w:cs="仿宋_GB2312" w:hint="eastAsia"/>
          <w:color w:val="000000" w:themeColor="text1"/>
          <w:szCs w:val="32"/>
        </w:rPr>
        <w:t>一是招标人在发出资格预审文件、招标文件的同时，将资格预审文件、招标文件报送县公共资源交易监督管理局备案。二是招标</w:t>
      </w:r>
      <w:r>
        <w:rPr>
          <w:rFonts w:ascii="仿宋_GB2312" w:eastAsia="仿宋_GB2312" w:hAnsi="仿宋_GB2312" w:cs="仿宋_GB2312" w:hint="eastAsia"/>
          <w:color w:val="000000" w:themeColor="text1"/>
          <w:szCs w:val="32"/>
        </w:rPr>
        <w:lastRenderedPageBreak/>
        <w:t>人确定中标人后，自确</w:t>
      </w:r>
      <w:r>
        <w:rPr>
          <w:rFonts w:ascii="仿宋_GB2312" w:eastAsia="仿宋_GB2312" w:hAnsi="仿宋_GB2312" w:cs="仿宋_GB2312" w:hint="eastAsia"/>
          <w:color w:val="000000" w:themeColor="text1"/>
          <w:szCs w:val="32"/>
        </w:rPr>
        <w:t>定之日起</w:t>
      </w:r>
      <w:r>
        <w:rPr>
          <w:rFonts w:ascii="仿宋_GB2312" w:eastAsia="仿宋_GB2312" w:hAnsi="仿宋_GB2312" w:cs="仿宋_GB2312" w:hint="eastAsia"/>
          <w:color w:val="000000" w:themeColor="text1"/>
          <w:szCs w:val="32"/>
        </w:rPr>
        <w:t>15</w:t>
      </w:r>
      <w:r>
        <w:rPr>
          <w:rFonts w:ascii="仿宋_GB2312" w:eastAsia="仿宋_GB2312" w:hAnsi="仿宋_GB2312" w:cs="仿宋_GB2312" w:hint="eastAsia"/>
          <w:color w:val="000000" w:themeColor="text1"/>
          <w:szCs w:val="32"/>
        </w:rPr>
        <w:t>日内向县公共资源局和有关行政监督部门提交招标投标情况的书面报告。三是中标合同签订之日起</w:t>
      </w:r>
      <w:r>
        <w:rPr>
          <w:rFonts w:ascii="仿宋_GB2312" w:eastAsia="仿宋_GB2312" w:hAnsi="仿宋_GB2312" w:cs="仿宋_GB2312" w:hint="eastAsia"/>
          <w:color w:val="000000" w:themeColor="text1"/>
          <w:szCs w:val="32"/>
        </w:rPr>
        <w:t>15</w:t>
      </w:r>
      <w:r>
        <w:rPr>
          <w:rFonts w:ascii="仿宋_GB2312" w:eastAsia="仿宋_GB2312" w:hAnsi="仿宋_GB2312" w:cs="仿宋_GB2312" w:hint="eastAsia"/>
          <w:color w:val="000000" w:themeColor="text1"/>
          <w:szCs w:val="32"/>
        </w:rPr>
        <w:t>日内向县公共资源局和有关行政监督部门备案。全流程电子招投标合同备案通过湖北省公共资源交易平台进行，由县公共资源交易中心工作人员负责审核通过。</w:t>
      </w:r>
    </w:p>
    <w:p w:rsidR="004A1954" w:rsidRDefault="00D32E6A">
      <w:pPr>
        <w:spacing w:line="530" w:lineRule="exact"/>
        <w:ind w:firstLineChars="250" w:firstLine="790"/>
        <w:rPr>
          <w:rFonts w:ascii="仿宋" w:hAnsi="仿宋" w:cs="仿宋"/>
          <w:color w:val="000000" w:themeColor="text1"/>
          <w:szCs w:val="32"/>
        </w:rPr>
      </w:pPr>
      <w:r>
        <w:rPr>
          <w:rFonts w:ascii="黑体" w:eastAsia="黑体" w:hAnsi="黑体" w:cs="黑体" w:hint="eastAsia"/>
          <w:color w:val="000000" w:themeColor="text1"/>
          <w:szCs w:val="32"/>
        </w:rPr>
        <w:t>三、严格惩处，维护招投标市场秩序</w:t>
      </w:r>
    </w:p>
    <w:p w:rsidR="004A1954" w:rsidRDefault="00D32E6A">
      <w:pPr>
        <w:spacing w:line="530" w:lineRule="exact"/>
        <w:ind w:firstLineChars="200" w:firstLine="632"/>
        <w:rPr>
          <w:rFonts w:ascii="仿宋_GB2312" w:eastAsia="仿宋_GB2312" w:hAnsi="仿宋_GB2312" w:cs="仿宋_GB2312"/>
          <w:color w:val="000000" w:themeColor="text1"/>
          <w:szCs w:val="32"/>
        </w:rPr>
      </w:pPr>
      <w:r>
        <w:rPr>
          <w:rFonts w:ascii="楷体" w:eastAsia="楷体" w:hAnsi="楷体" w:cs="楷体" w:hint="eastAsia"/>
          <w:color w:val="000000" w:themeColor="text1"/>
          <w:szCs w:val="32"/>
        </w:rPr>
        <w:t>（一）开展信用评价</w:t>
      </w:r>
      <w:r>
        <w:rPr>
          <w:rFonts w:ascii="楷体" w:eastAsia="楷体" w:hAnsi="楷体" w:cs="楷体" w:hint="eastAsia"/>
          <w:color w:val="000000" w:themeColor="text1"/>
          <w:szCs w:val="32"/>
        </w:rPr>
        <w:t>,</w:t>
      </w:r>
      <w:r>
        <w:rPr>
          <w:rFonts w:ascii="楷体" w:eastAsia="楷体" w:hAnsi="楷体" w:cs="楷体" w:hint="eastAsia"/>
          <w:color w:val="000000" w:themeColor="text1"/>
          <w:szCs w:val="32"/>
        </w:rPr>
        <w:t>惩治不良行为。</w:t>
      </w:r>
      <w:r>
        <w:rPr>
          <w:rFonts w:ascii="仿宋_GB2312" w:eastAsia="仿宋_GB2312" w:hAnsi="仿宋_GB2312" w:cs="仿宋_GB2312" w:hint="eastAsia"/>
          <w:b/>
          <w:bCs/>
          <w:color w:val="000000" w:themeColor="text1"/>
          <w:szCs w:val="32"/>
        </w:rPr>
        <w:t>一是</w:t>
      </w:r>
      <w:r>
        <w:rPr>
          <w:rFonts w:ascii="仿宋_GB2312" w:eastAsia="仿宋_GB2312" w:hAnsi="仿宋_GB2312" w:cs="仿宋_GB2312" w:hint="eastAsia"/>
          <w:color w:val="000000" w:themeColor="text1"/>
          <w:szCs w:val="32"/>
        </w:rPr>
        <w:t>完善招标投标信用主体基础要素信息。按照《湖北省公共资源违法违规行为记录量化管理办法》的要求，组织招标人、代理公司、投标人、评标专家完成湖北省招标投标不良行为量化系统内基础信息的录入，</w:t>
      </w:r>
      <w:r>
        <w:rPr>
          <w:rFonts w:ascii="仿宋_GB2312" w:eastAsia="仿宋_GB2312" w:hAnsi="仿宋_GB2312" w:cs="仿宋_GB2312" w:hint="eastAsia"/>
          <w:color w:val="000000" w:themeColor="text1"/>
          <w:kern w:val="0"/>
          <w:szCs w:val="32"/>
        </w:rPr>
        <w:t>整合有关部门和行业信用信息资源，建立综合性数据库，实现公共资源交易信用信息互联互通，共认共享。</w:t>
      </w:r>
      <w:r>
        <w:rPr>
          <w:rFonts w:ascii="仿宋_GB2312" w:eastAsia="仿宋_GB2312" w:hAnsi="仿宋_GB2312" w:cs="仿宋_GB2312" w:hint="eastAsia"/>
          <w:b/>
          <w:bCs/>
          <w:color w:val="000000" w:themeColor="text1"/>
          <w:kern w:val="0"/>
          <w:szCs w:val="32"/>
        </w:rPr>
        <w:t>二是</w:t>
      </w:r>
      <w:r>
        <w:rPr>
          <w:rFonts w:ascii="仿宋_GB2312" w:eastAsia="仿宋_GB2312" w:hAnsi="仿宋_GB2312" w:cs="仿宋_GB2312" w:hint="eastAsia"/>
          <w:color w:val="000000" w:themeColor="text1"/>
          <w:kern w:val="0"/>
          <w:szCs w:val="32"/>
        </w:rPr>
        <w:t>建立有效的信用制度。建立信用评价机制，约束不规范行为。</w:t>
      </w:r>
      <w:r>
        <w:rPr>
          <w:rFonts w:ascii="仿宋_GB2312" w:eastAsia="仿宋_GB2312" w:hAnsi="仿宋_GB2312" w:cs="仿宋_GB2312" w:hint="eastAsia"/>
          <w:color w:val="000000" w:themeColor="text1"/>
          <w:szCs w:val="32"/>
        </w:rPr>
        <w:t>制定招标投标不良行为清单和惩戒措施清单，建立守信激励和失信惩戒制度，实行招投标不良行为“黑名单”及公开、公示制。三</w:t>
      </w:r>
      <w:r>
        <w:rPr>
          <w:rFonts w:ascii="仿宋_GB2312" w:eastAsia="仿宋_GB2312" w:hAnsi="仿宋_GB2312" w:cs="仿宋_GB2312" w:hint="eastAsia"/>
          <w:b/>
          <w:color w:val="000000" w:themeColor="text1"/>
          <w:szCs w:val="32"/>
        </w:rPr>
        <w:t>是</w:t>
      </w:r>
      <w:r>
        <w:rPr>
          <w:rFonts w:ascii="仿宋_GB2312" w:eastAsia="仿宋_GB2312" w:hAnsi="仿宋_GB2312" w:cs="仿宋_GB2312" w:hint="eastAsia"/>
          <w:color w:val="000000" w:themeColor="text1"/>
          <w:szCs w:val="32"/>
        </w:rPr>
        <w:t>严惩各类失信行为。对于通过资格预审后无故不参加投标、不按规定使用标准招标文件、评标失误等一般失信行为，进行约谈提醒、公示后记录存档；对于法定时间不公示、虚假招标、串通投标等较重或严重不良行为，给予相应标准的不良行为记录，上传至湖北省违法违规信息发布平台及“信用湖北”进行公示，同时视情节轻重给予不同时间限制进入宣恩县公共资源招投标市场的处理。</w:t>
      </w:r>
    </w:p>
    <w:p w:rsidR="004A1954" w:rsidRDefault="00D32E6A">
      <w:pPr>
        <w:spacing w:line="530" w:lineRule="exact"/>
        <w:ind w:firstLineChars="200" w:firstLine="632"/>
        <w:rPr>
          <w:rFonts w:ascii="仿宋_GB2312" w:eastAsia="仿宋_GB2312" w:hAnsi="仿宋_GB2312" w:cs="仿宋_GB2312"/>
          <w:color w:val="000000" w:themeColor="text1"/>
          <w:szCs w:val="32"/>
        </w:rPr>
      </w:pPr>
      <w:r>
        <w:rPr>
          <w:rFonts w:ascii="楷体" w:eastAsia="楷体" w:hAnsi="楷体" w:cs="楷体" w:hint="eastAsia"/>
          <w:color w:val="000000" w:themeColor="text1"/>
          <w:szCs w:val="32"/>
        </w:rPr>
        <w:t>（二）畅通投诉渠道，查处违规行为。</w:t>
      </w:r>
      <w:r>
        <w:rPr>
          <w:rFonts w:ascii="仿宋_GB2312" w:eastAsia="仿宋_GB2312" w:hAnsi="仿宋_GB2312" w:cs="仿宋_GB2312" w:hint="eastAsia"/>
          <w:color w:val="000000" w:themeColor="text1"/>
          <w:szCs w:val="32"/>
        </w:rPr>
        <w:t>县公共资源局和各行政监督部门要严格按照《湖北省公共资源招标投标投诉处理办法》的分工及处理程序，及时受理投诉举报。不是本部门权限内的要</w:t>
      </w:r>
      <w:r>
        <w:rPr>
          <w:rFonts w:ascii="仿宋_GB2312" w:eastAsia="仿宋_GB2312" w:hAnsi="仿宋_GB2312" w:cs="仿宋_GB2312" w:hint="eastAsia"/>
          <w:color w:val="000000" w:themeColor="text1"/>
          <w:szCs w:val="32"/>
        </w:rPr>
        <w:lastRenderedPageBreak/>
        <w:t>及时书面转办，并及时向投诉人告知。行政监督部门需要回避、职能交叉等投诉，由县公共资源局受理或协调相关部门联合处理。在处理投诉举报过程中发现的违法违规问题，依据各自权限由办理部门处理。行政监督部门应及时将投诉处理结果反馈至县公共资源局，县公共资源局在法定时间内上传至“湖北省公共资源交易监督平台”。全流程电子招投标项目的投诉举报原则上从“湖北省公共资源交易平台”或监督平台受理，县公</w:t>
      </w:r>
      <w:r>
        <w:rPr>
          <w:rFonts w:ascii="仿宋_GB2312" w:eastAsia="仿宋_GB2312" w:hAnsi="仿宋_GB2312" w:cs="仿宋_GB2312" w:hint="eastAsia"/>
          <w:color w:val="000000" w:themeColor="text1"/>
          <w:szCs w:val="32"/>
        </w:rPr>
        <w:t>共资源交易中心应及时将交易平台相关信息书面转送至各监督部门。</w:t>
      </w:r>
    </w:p>
    <w:p w:rsidR="004A1954" w:rsidRDefault="00D32E6A">
      <w:pPr>
        <w:spacing w:line="530" w:lineRule="exact"/>
        <w:ind w:firstLineChars="200" w:firstLine="632"/>
        <w:rPr>
          <w:rFonts w:ascii="仿宋_GB2312" w:eastAsia="仿宋_GB2312" w:hAnsi="仿宋_GB2312" w:cs="仿宋_GB2312"/>
          <w:color w:val="000000" w:themeColor="text1"/>
          <w:szCs w:val="32"/>
        </w:rPr>
      </w:pPr>
      <w:r>
        <w:rPr>
          <w:rFonts w:ascii="楷体" w:eastAsia="楷体" w:hAnsi="楷体" w:cs="楷体" w:hint="eastAsia"/>
          <w:color w:val="000000" w:themeColor="text1"/>
          <w:szCs w:val="32"/>
        </w:rPr>
        <w:t>（三）落实执法检查，打击不法行为。</w:t>
      </w:r>
      <w:r>
        <w:rPr>
          <w:rFonts w:ascii="仿宋_GB2312" w:eastAsia="仿宋_GB2312" w:hAnsi="仿宋_GB2312" w:cs="仿宋_GB2312" w:hint="eastAsia"/>
          <w:color w:val="000000" w:themeColor="text1"/>
          <w:szCs w:val="32"/>
        </w:rPr>
        <w:t>行政监督部门对本部门监管的依法必须招标项目开展专项执法检查，县公共资源局对于没有部门管理或职能交叉的依法必须招标项目开展综合执法检查。常规执法检查应通过“湖北省‘双随机一公开’监管平台”进行“双随机”抽取，并在该平台公示，抽查频次和比率不低于省市县标准。县公共资源局应组织行政监督部门开展联合检查和重点核查，检查结果互通有无，信息共享。对于检查中发现的违法违规问题，视情节分别给予记不良行为、罚款、限制市场准入等方式</w:t>
      </w:r>
      <w:r>
        <w:rPr>
          <w:rFonts w:ascii="仿宋_GB2312" w:eastAsia="仿宋_GB2312" w:hAnsi="仿宋_GB2312" w:cs="仿宋_GB2312" w:hint="eastAsia"/>
          <w:color w:val="000000" w:themeColor="text1"/>
          <w:szCs w:val="32"/>
        </w:rPr>
        <w:t>处理。</w:t>
      </w:r>
    </w:p>
    <w:p w:rsidR="004A1954" w:rsidRDefault="004A1954">
      <w:pPr>
        <w:spacing w:line="530" w:lineRule="exact"/>
        <w:rPr>
          <w:rFonts w:ascii="仿宋_GB2312" w:eastAsia="仿宋_GB2312" w:hAnsi="仿宋_GB2312" w:cs="仿宋_GB2312"/>
          <w:color w:val="000000" w:themeColor="text1"/>
          <w:szCs w:val="32"/>
        </w:rPr>
      </w:pPr>
    </w:p>
    <w:p w:rsidR="004A1954" w:rsidRDefault="004A1954">
      <w:pPr>
        <w:spacing w:line="530" w:lineRule="exact"/>
      </w:pPr>
    </w:p>
    <w:p w:rsidR="004A1954" w:rsidRDefault="004A1954">
      <w:pPr>
        <w:spacing w:line="530" w:lineRule="exact"/>
      </w:pPr>
    </w:p>
    <w:p w:rsidR="004A1954" w:rsidRDefault="00D32E6A">
      <w:pPr>
        <w:pStyle w:val="a6"/>
        <w:widowControl/>
        <w:spacing w:beforeAutospacing="0" w:afterAutospacing="0" w:line="530" w:lineRule="exact"/>
        <w:ind w:leftChars="304" w:left="4751" w:hangingChars="1200" w:hanging="3791"/>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 xml:space="preserve">               </w:t>
      </w:r>
      <w:r>
        <w:rPr>
          <w:rFonts w:ascii="仿宋_GB2312" w:eastAsia="仿宋_GB2312" w:hAnsi="仿宋_GB2312" w:cs="仿宋_GB2312" w:hint="eastAsia"/>
          <w:color w:val="000000" w:themeColor="text1"/>
          <w:sz w:val="32"/>
          <w:szCs w:val="32"/>
        </w:rPr>
        <w:t>宣恩县公共资源交易管理委员会</w:t>
      </w:r>
      <w:r>
        <w:rPr>
          <w:rFonts w:ascii="仿宋_GB2312" w:eastAsia="仿宋_GB2312" w:hAnsi="仿宋_GB2312" w:cs="仿宋_GB2312" w:hint="eastAsia"/>
          <w:color w:val="000000" w:themeColor="text1"/>
          <w:sz w:val="32"/>
          <w:szCs w:val="32"/>
        </w:rPr>
        <w:t xml:space="preserve">                    2020</w:t>
      </w:r>
      <w:r>
        <w:rPr>
          <w:rFonts w:ascii="仿宋_GB2312" w:eastAsia="仿宋_GB2312" w:hAnsi="仿宋_GB2312" w:cs="仿宋_GB2312" w:hint="eastAsia"/>
          <w:color w:val="000000" w:themeColor="text1"/>
          <w:sz w:val="32"/>
          <w:szCs w:val="32"/>
        </w:rPr>
        <w:t>年</w:t>
      </w:r>
      <w:r>
        <w:rPr>
          <w:rFonts w:ascii="仿宋_GB2312" w:eastAsia="仿宋_GB2312" w:hAnsi="仿宋_GB2312" w:cs="仿宋_GB2312" w:hint="eastAsia"/>
          <w:color w:val="000000" w:themeColor="text1"/>
          <w:sz w:val="32"/>
          <w:szCs w:val="32"/>
        </w:rPr>
        <w:t>8</w:t>
      </w:r>
      <w:r>
        <w:rPr>
          <w:rFonts w:ascii="仿宋_GB2312" w:eastAsia="仿宋_GB2312" w:hAnsi="仿宋_GB2312" w:cs="仿宋_GB2312" w:hint="eastAsia"/>
          <w:color w:val="000000" w:themeColor="text1"/>
          <w:sz w:val="32"/>
          <w:szCs w:val="32"/>
        </w:rPr>
        <w:t>月</w:t>
      </w: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日</w:t>
      </w:r>
    </w:p>
    <w:p w:rsidR="004A1954" w:rsidRDefault="004A1954">
      <w:pPr>
        <w:pStyle w:val="a6"/>
        <w:widowControl/>
        <w:spacing w:beforeAutospacing="0" w:afterAutospacing="0" w:line="560" w:lineRule="exact"/>
        <w:ind w:leftChars="304" w:left="3791" w:hangingChars="1200" w:hanging="2831"/>
      </w:pPr>
    </w:p>
    <w:sectPr w:rsidR="004A1954">
      <w:footerReference w:type="even" r:id="rId8"/>
      <w:footerReference w:type="default" r:id="rId9"/>
      <w:pgSz w:w="11906" w:h="16838"/>
      <w:pgMar w:top="2098" w:right="1474" w:bottom="1984" w:left="1587" w:header="851" w:footer="992" w:gutter="0"/>
      <w:cols w:space="0"/>
      <w:docGrid w:type="linesAndChars" w:linePitch="579"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E6A" w:rsidRDefault="00D32E6A">
      <w:r>
        <w:separator/>
      </w:r>
    </w:p>
  </w:endnote>
  <w:endnote w:type="continuationSeparator" w:id="0">
    <w:p w:rsidR="00D32E6A" w:rsidRDefault="00D32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954" w:rsidRDefault="00D32E6A">
    <w:pPr>
      <w:pStyle w:val="a4"/>
    </w:pPr>
    <w:r>
      <w:rPr>
        <w:noProof/>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A1954" w:rsidRDefault="00D32E6A">
                          <w:pPr>
                            <w:pStyle w:val="a4"/>
                            <w:rPr>
                              <w:rStyle w:val="a7"/>
                              <w:sz w:val="28"/>
                            </w:rPr>
                          </w:pPr>
                          <w:r>
                            <w:rPr>
                              <w:rStyle w:val="a7"/>
                              <w:rFonts w:hint="eastAsia"/>
                              <w:sz w:val="28"/>
                            </w:rPr>
                            <w:t>—</w:t>
                          </w:r>
                          <w:r>
                            <w:rPr>
                              <w:rStyle w:val="a7"/>
                              <w:sz w:val="28"/>
                            </w:rPr>
                            <w:t xml:space="preserve"> </w:t>
                          </w:r>
                          <w:r>
                            <w:rPr>
                              <w:sz w:val="28"/>
                            </w:rPr>
                            <w:fldChar w:fldCharType="begin"/>
                          </w:r>
                          <w:r>
                            <w:rPr>
                              <w:rStyle w:val="a7"/>
                              <w:sz w:val="28"/>
                            </w:rPr>
                            <w:instrText xml:space="preserve">PAGE  </w:instrText>
                          </w:r>
                          <w:r>
                            <w:rPr>
                              <w:sz w:val="28"/>
                            </w:rPr>
                            <w:fldChar w:fldCharType="separate"/>
                          </w:r>
                          <w:r w:rsidR="0094367F">
                            <w:rPr>
                              <w:rStyle w:val="a7"/>
                              <w:noProof/>
                              <w:sz w:val="28"/>
                            </w:rPr>
                            <w:t>4</w:t>
                          </w:r>
                          <w:r>
                            <w:rPr>
                              <w:sz w:val="28"/>
                            </w:rPr>
                            <w:fldChar w:fldCharType="end"/>
                          </w:r>
                          <w:r>
                            <w:rPr>
                              <w:rStyle w:val="a7"/>
                              <w:sz w:val="28"/>
                            </w:rPr>
                            <w:t xml:space="preserve"> </w:t>
                          </w:r>
                          <w:r>
                            <w:rPr>
                              <w:rStyle w:val="a7"/>
                              <w:rFonts w:hint="eastAsia"/>
                              <w:sz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margin-left:92.8pt;margin-top:0;width:2in;height:2in;z-index:251663360;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4A1954" w:rsidRDefault="00D32E6A">
                    <w:pPr>
                      <w:pStyle w:val="a4"/>
                      <w:rPr>
                        <w:rStyle w:val="a7"/>
                        <w:sz w:val="28"/>
                      </w:rPr>
                    </w:pPr>
                    <w:r>
                      <w:rPr>
                        <w:rStyle w:val="a7"/>
                        <w:rFonts w:hint="eastAsia"/>
                        <w:sz w:val="28"/>
                      </w:rPr>
                      <w:t>—</w:t>
                    </w:r>
                    <w:r>
                      <w:rPr>
                        <w:rStyle w:val="a7"/>
                        <w:sz w:val="28"/>
                      </w:rPr>
                      <w:t xml:space="preserve"> </w:t>
                    </w:r>
                    <w:r>
                      <w:rPr>
                        <w:sz w:val="28"/>
                      </w:rPr>
                      <w:fldChar w:fldCharType="begin"/>
                    </w:r>
                    <w:r>
                      <w:rPr>
                        <w:rStyle w:val="a7"/>
                        <w:sz w:val="28"/>
                      </w:rPr>
                      <w:instrText xml:space="preserve">PAGE  </w:instrText>
                    </w:r>
                    <w:r>
                      <w:rPr>
                        <w:sz w:val="28"/>
                      </w:rPr>
                      <w:fldChar w:fldCharType="separate"/>
                    </w:r>
                    <w:r w:rsidR="0094367F">
                      <w:rPr>
                        <w:rStyle w:val="a7"/>
                        <w:noProof/>
                        <w:sz w:val="28"/>
                      </w:rPr>
                      <w:t>4</w:t>
                    </w:r>
                    <w:r>
                      <w:rPr>
                        <w:sz w:val="28"/>
                      </w:rPr>
                      <w:fldChar w:fldCharType="end"/>
                    </w:r>
                    <w:r>
                      <w:rPr>
                        <w:rStyle w:val="a7"/>
                        <w:sz w:val="28"/>
                      </w:rPr>
                      <w:t xml:space="preserve"> </w:t>
                    </w:r>
                    <w:r>
                      <w:rPr>
                        <w:rStyle w:val="a7"/>
                        <w:rFonts w:hint="eastAsia"/>
                        <w:sz w:val="28"/>
                      </w:rPr>
                      <w:t>—</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954" w:rsidRDefault="00D32E6A">
    <w:pPr>
      <w:pStyle w:val="a4"/>
    </w:pPr>
    <w:r>
      <w:rPr>
        <w:noProof/>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A1954" w:rsidRDefault="00D32E6A">
                          <w:pPr>
                            <w:pStyle w:val="a4"/>
                            <w:rPr>
                              <w:rStyle w:val="a7"/>
                              <w:sz w:val="28"/>
                            </w:rPr>
                          </w:pPr>
                          <w:r>
                            <w:rPr>
                              <w:rStyle w:val="a7"/>
                              <w:rFonts w:hint="eastAsia"/>
                              <w:sz w:val="28"/>
                            </w:rPr>
                            <w:t>—</w:t>
                          </w:r>
                          <w:r>
                            <w:rPr>
                              <w:rStyle w:val="a7"/>
                              <w:sz w:val="28"/>
                            </w:rPr>
                            <w:t xml:space="preserve"> </w:t>
                          </w:r>
                          <w:r>
                            <w:rPr>
                              <w:sz w:val="28"/>
                            </w:rPr>
                            <w:fldChar w:fldCharType="begin"/>
                          </w:r>
                          <w:r>
                            <w:rPr>
                              <w:rStyle w:val="a7"/>
                              <w:sz w:val="28"/>
                            </w:rPr>
                            <w:instrText xml:space="preserve">PAGE  </w:instrText>
                          </w:r>
                          <w:r>
                            <w:rPr>
                              <w:sz w:val="28"/>
                            </w:rPr>
                            <w:fldChar w:fldCharType="separate"/>
                          </w:r>
                          <w:r w:rsidR="0094367F">
                            <w:rPr>
                              <w:rStyle w:val="a7"/>
                              <w:noProof/>
                              <w:sz w:val="28"/>
                            </w:rPr>
                            <w:t>3</w:t>
                          </w:r>
                          <w:r>
                            <w:rPr>
                              <w:sz w:val="28"/>
                            </w:rPr>
                            <w:fldChar w:fldCharType="end"/>
                          </w:r>
                          <w:r>
                            <w:rPr>
                              <w:rStyle w:val="a7"/>
                              <w:sz w:val="28"/>
                            </w:rPr>
                            <w:t xml:space="preserve"> </w:t>
                          </w:r>
                          <w:r>
                            <w:rPr>
                              <w:rStyle w:val="a7"/>
                              <w:rFonts w:hint="eastAsia"/>
                              <w:sz w:val="28"/>
                            </w:rPr>
                            <w:t>—</w:t>
                          </w:r>
                        </w:p>
                        <w:p w:rsidR="004A1954" w:rsidRDefault="004A195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8"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4A1954" w:rsidRDefault="00D32E6A">
                    <w:pPr>
                      <w:pStyle w:val="a4"/>
                      <w:rPr>
                        <w:rStyle w:val="a7"/>
                        <w:sz w:val="28"/>
                      </w:rPr>
                    </w:pPr>
                    <w:r>
                      <w:rPr>
                        <w:rStyle w:val="a7"/>
                        <w:rFonts w:hint="eastAsia"/>
                        <w:sz w:val="28"/>
                      </w:rPr>
                      <w:t>—</w:t>
                    </w:r>
                    <w:r>
                      <w:rPr>
                        <w:rStyle w:val="a7"/>
                        <w:sz w:val="28"/>
                      </w:rPr>
                      <w:t xml:space="preserve"> </w:t>
                    </w:r>
                    <w:r>
                      <w:rPr>
                        <w:sz w:val="28"/>
                      </w:rPr>
                      <w:fldChar w:fldCharType="begin"/>
                    </w:r>
                    <w:r>
                      <w:rPr>
                        <w:rStyle w:val="a7"/>
                        <w:sz w:val="28"/>
                      </w:rPr>
                      <w:instrText xml:space="preserve">PAGE  </w:instrText>
                    </w:r>
                    <w:r>
                      <w:rPr>
                        <w:sz w:val="28"/>
                      </w:rPr>
                      <w:fldChar w:fldCharType="separate"/>
                    </w:r>
                    <w:r w:rsidR="0094367F">
                      <w:rPr>
                        <w:rStyle w:val="a7"/>
                        <w:noProof/>
                        <w:sz w:val="28"/>
                      </w:rPr>
                      <w:t>3</w:t>
                    </w:r>
                    <w:r>
                      <w:rPr>
                        <w:sz w:val="28"/>
                      </w:rPr>
                      <w:fldChar w:fldCharType="end"/>
                    </w:r>
                    <w:r>
                      <w:rPr>
                        <w:rStyle w:val="a7"/>
                        <w:sz w:val="28"/>
                      </w:rPr>
                      <w:t xml:space="preserve"> </w:t>
                    </w:r>
                    <w:r>
                      <w:rPr>
                        <w:rStyle w:val="a7"/>
                        <w:rFonts w:hint="eastAsia"/>
                        <w:sz w:val="28"/>
                      </w:rPr>
                      <w:t>—</w:t>
                    </w:r>
                  </w:p>
                  <w:p w:rsidR="004A1954" w:rsidRDefault="004A1954"/>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A1954" w:rsidRDefault="004A1954">
                          <w:pPr>
                            <w:pStyle w:val="a4"/>
                            <w:rPr>
                              <w:sz w:val="28"/>
                              <w:szCs w:val="2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9" type="#_x0000_t202" style="position:absolute;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upfuaWMCAAARBQAADgAAAAAAAAAAAAAAAAAuAgAAZHJzL2Uyb0RvYy54&#10;bWxQSwECLQAUAAYACAAAACEAcarRudcAAAAFAQAADwAAAAAAAAAAAAAAAAC9BAAAZHJzL2Rvd25y&#10;ZXYueG1sUEsFBgAAAAAEAAQA8wAAAMEFAAAAAA==&#10;" filled="f" stroked="f" strokeweight=".5pt">
              <v:textbox style="mso-fit-shape-to-text:t" inset="0,0,0,0">
                <w:txbxContent>
                  <w:p w:rsidR="004A1954" w:rsidRDefault="004A1954">
                    <w:pPr>
                      <w:pStyle w:val="a4"/>
                      <w:rPr>
                        <w:sz w:val="28"/>
                        <w:szCs w:val="28"/>
                      </w:rPr>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E6A" w:rsidRDefault="00D32E6A">
      <w:r>
        <w:separator/>
      </w:r>
    </w:p>
  </w:footnote>
  <w:footnote w:type="continuationSeparator" w:id="0">
    <w:p w:rsidR="00D32E6A" w:rsidRDefault="00D32E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08FA65E"/>
    <w:multiLevelType w:val="singleLevel"/>
    <w:tmpl w:val="908FA65E"/>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420"/>
  <w:evenAndOddHeaders/>
  <w:drawingGridHorizontalSpacing w:val="158"/>
  <w:drawingGridVerticalSpacing w:val="290"/>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F277B"/>
    <w:rsid w:val="0015712E"/>
    <w:rsid w:val="004A1954"/>
    <w:rsid w:val="0094367F"/>
    <w:rsid w:val="00D32E6A"/>
    <w:rsid w:val="06821373"/>
    <w:rsid w:val="09A74913"/>
    <w:rsid w:val="0A8E5840"/>
    <w:rsid w:val="0CA330D7"/>
    <w:rsid w:val="0CE2321D"/>
    <w:rsid w:val="0E11739B"/>
    <w:rsid w:val="0FC43032"/>
    <w:rsid w:val="10374155"/>
    <w:rsid w:val="18A71AE8"/>
    <w:rsid w:val="1AF41016"/>
    <w:rsid w:val="1CCC5C54"/>
    <w:rsid w:val="25325F2C"/>
    <w:rsid w:val="2E586A31"/>
    <w:rsid w:val="3084792B"/>
    <w:rsid w:val="32630721"/>
    <w:rsid w:val="32EF3086"/>
    <w:rsid w:val="3446688D"/>
    <w:rsid w:val="3A11519E"/>
    <w:rsid w:val="3B3E239F"/>
    <w:rsid w:val="3BA2504F"/>
    <w:rsid w:val="40FA38E9"/>
    <w:rsid w:val="465D4FC6"/>
    <w:rsid w:val="4C2805CC"/>
    <w:rsid w:val="4CA44362"/>
    <w:rsid w:val="4F69638D"/>
    <w:rsid w:val="51A92616"/>
    <w:rsid w:val="55CC272E"/>
    <w:rsid w:val="565B66A3"/>
    <w:rsid w:val="5CAB7D97"/>
    <w:rsid w:val="5D8C62F8"/>
    <w:rsid w:val="61C746C8"/>
    <w:rsid w:val="63DF277B"/>
    <w:rsid w:val="6D535020"/>
    <w:rsid w:val="6EB33813"/>
    <w:rsid w:val="75FD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55A6AD5E-ED7B-4327-A70F-50FE62AD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Theme="minorHAnsi" w:eastAsia="仿宋" w:hAnsiTheme="minorHAnsi" w:cstheme="minorBidi"/>
      <w:kern w:val="2"/>
      <w:sz w:val="32"/>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paragraph" w:styleId="20">
    <w:name w:val="heading 2"/>
    <w:basedOn w:val="a"/>
    <w:next w:val="a"/>
    <w:unhideWhenUsed/>
    <w:qFormat/>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pPr>
      <w:ind w:firstLineChars="200" w:firstLine="420"/>
    </w:pPr>
  </w:style>
  <w:style w:type="paragraph" w:styleId="a3">
    <w:name w:val="Body Text Indent"/>
    <w:basedOn w:val="a"/>
    <w:next w:val="2"/>
    <w:qFormat/>
    <w:pPr>
      <w:ind w:leftChars="200" w:left="420"/>
    </w:pPr>
    <w:rPr>
      <w:rFonts w:hint="eastAsia"/>
    </w:r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pPr>
      <w:spacing w:beforeAutospacing="1" w:afterAutospacing="1"/>
      <w:jc w:val="left"/>
    </w:pPr>
    <w:rPr>
      <w:rFonts w:cs="Times New Roman"/>
      <w:kern w:val="0"/>
      <w:sz w:val="24"/>
    </w:rPr>
  </w:style>
  <w:style w:type="character" w:styleId="a7">
    <w:name w:val="page number"/>
  </w:style>
  <w:style w:type="table" w:styleId="a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12</TotalTime>
  <Pages>8</Pages>
  <Words>722</Words>
  <Characters>4116</Characters>
  <Application>Microsoft Office Word</Application>
  <DocSecurity>0</DocSecurity>
  <Lines>34</Lines>
  <Paragraphs>9</Paragraphs>
  <ScaleCrop>false</ScaleCrop>
  <Company>WORKGROUP</Company>
  <LinksUpToDate>false</LinksUpToDate>
  <CharactersWithSpaces>4829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2020-05-15T08:49:00Z</cp:lastPrinted>
  <dcterms:created xsi:type="dcterms:W3CDTF">2019-05-05T07:28:00Z</dcterms:created>
  <dcterms:modified xsi:type="dcterms:W3CDTF">2020-09-10T00:36:00Z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