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p>
    <w:p>
      <w:pPr>
        <w:rPr>
          <w:rFonts w:hint="eastAsia" w:ascii="宋体" w:hAnsi="宋体" w:cs="宋体"/>
        </w:rPr>
      </w:pPr>
    </w:p>
    <w:p>
      <w:pPr>
        <w:rPr>
          <w:rFonts w:hint="eastAsia" w:ascii="宋体" w:hAnsi="宋体" w:cs="宋体"/>
        </w:rPr>
      </w:pPr>
    </w:p>
    <w:p>
      <w:pPr>
        <w:rPr>
          <w:rFonts w:hint="eastAsia" w:ascii="宋体" w:hAnsi="宋体" w:cs="宋体"/>
        </w:rPr>
      </w:pPr>
      <w:bookmarkStart w:id="0" w:name="_GoBack"/>
      <w:bookmarkEnd w:id="0"/>
    </w:p>
    <w:p>
      <w:pPr>
        <w:rPr>
          <w:rFonts w:hint="eastAsia" w:ascii="宋体" w:hAnsi="宋体" w:cs="宋体"/>
        </w:rPr>
      </w:pPr>
    </w:p>
    <w:p>
      <w:pPr>
        <w:rPr>
          <w:rFonts w:hint="eastAsia" w:ascii="宋体" w:hAnsi="宋体" w:cs="宋体"/>
        </w:rPr>
      </w:pPr>
    </w:p>
    <w:p>
      <w:r>
        <mc:AlternateContent>
          <mc:Choice Requires="wpg">
            <w:drawing>
              <wp:anchor distT="0" distB="0" distL="114300" distR="114300" simplePos="0" relativeHeight="251660288" behindDoc="0" locked="0" layoutInCell="1" allowOverlap="1">
                <wp:simplePos x="0" y="0"/>
                <wp:positionH relativeFrom="column">
                  <wp:align>center</wp:align>
                </wp:positionH>
                <wp:positionV relativeFrom="paragraph">
                  <wp:posOffset>189865</wp:posOffset>
                </wp:positionV>
                <wp:extent cx="5919470" cy="2210435"/>
                <wp:effectExtent l="0" t="0" r="0" b="0"/>
                <wp:wrapNone/>
                <wp:docPr id="4" name="组合 2"/>
                <wp:cNvGraphicFramePr/>
                <a:graphic xmlns:a="http://schemas.openxmlformats.org/drawingml/2006/main">
                  <a:graphicData uri="http://schemas.microsoft.com/office/word/2010/wordprocessingGroup">
                    <wpg:wgp>
                      <wpg:cNvGrpSpPr/>
                      <wpg:grpSpPr>
                        <a:xfrm>
                          <a:off x="0" y="0"/>
                          <a:ext cx="5919470" cy="2210435"/>
                          <a:chOff x="4803" y="4552"/>
                          <a:chExt cx="9322" cy="3481"/>
                        </a:xfrm>
                      </wpg:grpSpPr>
                      <wps:wsp>
                        <wps:cNvPr id="2" name="矩形 3"/>
                        <wps:cNvSpPr/>
                        <wps:spPr>
                          <a:xfrm>
                            <a:off x="4803" y="4552"/>
                            <a:ext cx="9323" cy="1720"/>
                          </a:xfrm>
                          <a:prstGeom prst="rect">
                            <a:avLst/>
                          </a:prstGeom>
                          <a:noFill/>
                          <a:ln>
                            <a:noFill/>
                          </a:ln>
                        </wps:spPr>
                        <wps:txbx>
                          <w:txbxContent>
                            <w:p>
                              <w:pPr>
                                <w:jc w:val="distribute"/>
                                <w:rPr>
                                  <w:rFonts w:hint="eastAsia" w:ascii="方正小标宋_GBK" w:hAnsi="方正小标宋_GBK" w:eastAsia="方正小标宋_GBK" w:cs="方正小标宋_GBK"/>
                                  <w:color w:val="FF0000"/>
                                  <w:spacing w:val="-40"/>
                                  <w:w w:val="62"/>
                                  <w:sz w:val="104"/>
                                  <w:szCs w:val="104"/>
                                </w:rPr>
                              </w:pPr>
                              <w:r>
                                <w:rPr>
                                  <w:rFonts w:hint="eastAsia" w:ascii="方正小标宋_GBK" w:hAnsi="方正小标宋_GBK" w:eastAsia="方正小标宋_GBK" w:cs="方正小标宋_GBK"/>
                                  <w:color w:val="FF0000"/>
                                  <w:spacing w:val="-40"/>
                                  <w:w w:val="62"/>
                                  <w:sz w:val="104"/>
                                  <w:szCs w:val="104"/>
                                </w:rPr>
                                <w:t>湖北省公共资源交易监督管理局文件</w:t>
                              </w:r>
                            </w:p>
                          </w:txbxContent>
                        </wps:txbx>
                        <wps:bodyPr wrap="square" upright="1"/>
                      </wps:wsp>
                      <wps:wsp>
                        <wps:cNvPr id="3" name="直线 4"/>
                        <wps:cNvSpPr/>
                        <wps:spPr>
                          <a:xfrm>
                            <a:off x="4951" y="8033"/>
                            <a:ext cx="9071" cy="1"/>
                          </a:xfrm>
                          <a:prstGeom prst="line">
                            <a:avLst/>
                          </a:prstGeom>
                          <a:ln w="15875" cap="flat" cmpd="sng">
                            <a:solidFill>
                              <a:srgbClr val="FF0000"/>
                            </a:solidFill>
                            <a:prstDash val="solid"/>
                            <a:headEnd type="none" w="med" len="med"/>
                            <a:tailEnd type="none" w="med" len="med"/>
                          </a:ln>
                        </wps:spPr>
                        <wps:bodyPr upright="1"/>
                      </wps:wsp>
                    </wpg:wgp>
                  </a:graphicData>
                </a:graphic>
              </wp:anchor>
            </w:drawing>
          </mc:Choice>
          <mc:Fallback>
            <w:pict>
              <v:group id="组合 2" o:spid="_x0000_s1026" o:spt="203" style="position:absolute;left:0pt;margin-top:14.95pt;height:174.05pt;width:466.1pt;mso-position-horizontal:center;z-index:251660288;mso-width-relative:page;mso-height-relative:page;" coordorigin="4803,4552" coordsize="9322,3481" o:gfxdata="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Onze3XYAAAABwEAAA8AAAAAAAAAAQAg&#10;AAAAIgAAAGRycy9kb3ducmV2LnhtbFBLAQIUABQAAAAIAIdO4kC511KXuQIAAIIGAAAOAAAAAAAA&#10;AAEAIAAAACcBAABkcnMvZTJvRG9jLnhtbFBLBQYAAAAABgAGAFkBAABSBgAAAAA=&#10;">
                <o:lock v:ext="edit" aspectratio="f"/>
                <v:rect id="矩形 3" o:spid="_x0000_s1026" o:spt="1" style="position:absolute;left:4803;top:4552;height:1720;width:9323;"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aspectratio="f"/>
                  <v:textbox>
                    <w:txbxContent>
                      <w:p>
                        <w:pPr>
                          <w:jc w:val="distribute"/>
                          <w:rPr>
                            <w:rFonts w:hint="eastAsia" w:ascii="方正小标宋_GBK" w:hAnsi="方正小标宋_GBK" w:eastAsia="方正小标宋_GBK" w:cs="方正小标宋_GBK"/>
                            <w:color w:val="FF0000"/>
                            <w:spacing w:val="-40"/>
                            <w:w w:val="62"/>
                            <w:sz w:val="104"/>
                            <w:szCs w:val="104"/>
                          </w:rPr>
                        </w:pPr>
                        <w:r>
                          <w:rPr>
                            <w:rFonts w:hint="eastAsia" w:ascii="方正小标宋_GBK" w:hAnsi="方正小标宋_GBK" w:eastAsia="方正小标宋_GBK" w:cs="方正小标宋_GBK"/>
                            <w:color w:val="FF0000"/>
                            <w:spacing w:val="-40"/>
                            <w:w w:val="62"/>
                            <w:sz w:val="104"/>
                            <w:szCs w:val="104"/>
                          </w:rPr>
                          <w:t>湖北省公共资源交易监督管理局文件</w:t>
                        </w:r>
                      </w:p>
                    </w:txbxContent>
                  </v:textbox>
                </v:rect>
                <v:line id="直线 4" o:spid="_x0000_s1026" o:spt="20" style="position:absolute;left:4951;top:8033;height:1;width:9071;" filled="f" stroked="t" coordsize="21600,21600" o:gfxdata="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k7bYvQAA&#10;ANoAAAAPAAAAAAAAAAEAIAAAACIAAABkcnMvZG93bnJldi54bWxQSwECFAAUAAAACACHTuJAMy8F&#10;njsAAAA5AAAAEAAAAAAAAAABACAAAAAMAQAAZHJzL3NoYXBleG1sLnhtbFBLBQYAAAAABgAGAFsB&#10;AAC2AwAAAAA=&#10;">
                  <v:fill on="f" focussize="0,0"/>
                  <v:stroke weight="1.25pt" color="#FF0000" joinstyle="round"/>
                  <v:imagedata o:title=""/>
                  <o:lock v:ext="edit" aspectratio="f"/>
                </v:line>
              </v:group>
            </w:pict>
          </mc:Fallback>
        </mc:AlternateContent>
      </w:r>
    </w:p>
    <w:p/>
    <w:p/>
    <w:p/>
    <w:p/>
    <w:p/>
    <w:p/>
    <w:p/>
    <w:p/>
    <w:p/>
    <w:p>
      <w:pPr>
        <w:jc w:val="center"/>
        <w:rPr>
          <w:rFonts w:hint="eastAsia" w:ascii="仿宋_GB2312" w:eastAsia="仿宋_GB2312"/>
          <w:sz w:val="32"/>
          <w:szCs w:val="32"/>
          <w:lang w:val="en-US" w:eastAsia="zh-CN"/>
        </w:rPr>
      </w:pPr>
      <w:r>
        <w:rPr>
          <w:rFonts w:hint="eastAsia" w:ascii="仿宋_GB2312" w:eastAsia="仿宋_GB2312"/>
          <w:sz w:val="32"/>
          <w:szCs w:val="32"/>
        </w:rPr>
        <w:t>鄂公管文〔2023〕8号</w:t>
      </w:r>
    </w:p>
    <w:p>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小标宋_GBK" w:hAnsi="方正小标宋_GBK" w:eastAsia="方正小标宋_GBK" w:cs="方正小标宋_GBK"/>
          <w:sz w:val="44"/>
          <w:szCs w:val="44"/>
          <w:lang w:val="en-US" w:eastAsia="zh-CN"/>
        </w:rPr>
      </w:pPr>
    </w:p>
    <w:p>
      <w:pPr>
        <w:spacing w:line="600" w:lineRule="exact"/>
        <w:jc w:val="center"/>
        <w:rPr>
          <w:rFonts w:hint="eastAsia" w:ascii="方正小标宋_GBK" w:hAnsi="方正小标宋_GBK" w:eastAsia="方正小标宋_GBK" w:cs="方正小标宋_GBK"/>
          <w:color w:val="000000"/>
          <w:sz w:val="44"/>
          <w:szCs w:val="44"/>
          <w:lang w:eastAsia="zh-CN"/>
        </w:rPr>
      </w:pPr>
      <w:r>
        <w:rPr>
          <w:rFonts w:hint="eastAsia" w:ascii="方正小标宋_GBK" w:hAnsi="方正小标宋_GBK" w:eastAsia="方正小标宋_GBK" w:cs="方正小标宋_GBK"/>
          <w:color w:val="000000"/>
          <w:sz w:val="44"/>
          <w:szCs w:val="44"/>
          <w:lang w:eastAsia="zh-CN"/>
        </w:rPr>
        <w:t>省公共资源交易监督管理局印发</w:t>
      </w:r>
    </w:p>
    <w:p>
      <w:pPr>
        <w:spacing w:line="600" w:lineRule="exact"/>
        <w:jc w:val="center"/>
        <w:rPr>
          <w:rFonts w:hint="eastAsia" w:ascii="方正小标宋_GBK" w:hAnsi="方正小标宋_GBK" w:eastAsia="方正小标宋_GBK" w:cs="方正小标宋_GBK"/>
          <w:color w:val="000000"/>
          <w:sz w:val="44"/>
          <w:szCs w:val="44"/>
          <w:lang w:eastAsia="zh-CN"/>
        </w:rPr>
      </w:pPr>
      <w:r>
        <w:rPr>
          <w:rFonts w:hint="eastAsia" w:ascii="方正小标宋_GBK" w:hAnsi="方正小标宋_GBK" w:eastAsia="方正小标宋_GBK" w:cs="方正小标宋_GBK"/>
          <w:color w:val="000000"/>
          <w:sz w:val="44"/>
          <w:szCs w:val="44"/>
          <w:lang w:eastAsia="zh-CN"/>
        </w:rPr>
        <w:t>《关于统筹推进优化营商环境改革试点</w:t>
      </w:r>
    </w:p>
    <w:p>
      <w:pPr>
        <w:spacing w:line="600" w:lineRule="exact"/>
        <w:jc w:val="center"/>
        <w:rPr>
          <w:rFonts w:hint="default" w:ascii="方正小标宋_GBK" w:hAnsi="方正小标宋_GBK" w:eastAsia="方正小标宋_GBK" w:cs="方正小标宋_GBK"/>
          <w:color w:val="000000"/>
          <w:sz w:val="44"/>
          <w:szCs w:val="44"/>
          <w:lang w:val="en" w:eastAsia="zh-CN"/>
        </w:rPr>
      </w:pPr>
      <w:r>
        <w:rPr>
          <w:rFonts w:hint="eastAsia" w:ascii="方正小标宋_GBK" w:hAnsi="方正小标宋_GBK" w:eastAsia="方正小标宋_GBK" w:cs="方正小标宋_GBK"/>
          <w:color w:val="000000"/>
          <w:sz w:val="44"/>
          <w:szCs w:val="44"/>
          <w:lang w:eastAsia="zh-CN"/>
        </w:rPr>
        <w:t>工作的措施》的通知</w:t>
      </w:r>
    </w:p>
    <w:p>
      <w:pPr>
        <w:pStyle w:val="4"/>
        <w:keepNext w:val="0"/>
        <w:keepLines w:val="0"/>
        <w:pageBreakBefore w:val="0"/>
        <w:widowControl w:val="0"/>
        <w:kinsoku/>
        <w:wordWrap/>
        <w:overflowPunct/>
        <w:topLinePunct w:val="0"/>
        <w:autoSpaceDE w:val="0"/>
        <w:autoSpaceDN w:val="0"/>
        <w:bidi w:val="0"/>
        <w:adjustRightInd/>
        <w:snapToGrid/>
        <w:spacing w:before="0" w:after="0" w:line="579" w:lineRule="exact"/>
        <w:ind w:left="0" w:leftChars="0" w:right="0" w:firstLine="0" w:firstLineChars="0"/>
        <w:jc w:val="both"/>
        <w:textAlignment w:val="auto"/>
        <w:rPr>
          <w:rFonts w:hint="eastAsia" w:ascii="仿宋_GB2312" w:hAnsi="仿宋_GB2312" w:eastAsia="仿宋_GB2312" w:cs="仿宋_GB2312"/>
          <w:color w:val="auto"/>
          <w:kern w:val="0"/>
          <w:sz w:val="32"/>
          <w:szCs w:val="32"/>
          <w:lang w:val="zh-CN"/>
        </w:rPr>
      </w:pPr>
    </w:p>
    <w:p>
      <w:pPr>
        <w:pStyle w:val="4"/>
        <w:keepNext w:val="0"/>
        <w:keepLines w:val="0"/>
        <w:pageBreakBefore w:val="0"/>
        <w:widowControl w:val="0"/>
        <w:kinsoku/>
        <w:wordWrap/>
        <w:overflowPunct/>
        <w:topLinePunct w:val="0"/>
        <w:autoSpaceDE w:val="0"/>
        <w:autoSpaceDN w:val="0"/>
        <w:bidi w:val="0"/>
        <w:adjustRightInd/>
        <w:snapToGrid/>
        <w:spacing w:before="0" w:after="0" w:line="579" w:lineRule="exact"/>
        <w:ind w:left="0" w:leftChars="0" w:right="0" w:firstLine="0" w:firstLineChars="0"/>
        <w:jc w:val="both"/>
        <w:textAlignment w:val="auto"/>
        <w:rPr>
          <w:rFonts w:hint="eastAsia" w:ascii="仿宋_GB2312" w:hAnsi="仿宋_GB2312" w:eastAsia="仿宋_GB2312" w:cs="仿宋_GB2312"/>
          <w:color w:val="auto"/>
          <w:kern w:val="0"/>
          <w:sz w:val="32"/>
          <w:szCs w:val="32"/>
          <w:lang w:val="zh-CN"/>
        </w:rPr>
      </w:pPr>
      <w:r>
        <w:rPr>
          <w:rFonts w:hint="eastAsia" w:ascii="仿宋_GB2312" w:hAnsi="仿宋_GB2312" w:eastAsia="仿宋_GB2312" w:cs="仿宋_GB2312"/>
          <w:color w:val="auto"/>
          <w:kern w:val="0"/>
          <w:sz w:val="32"/>
          <w:szCs w:val="32"/>
          <w:lang w:val="zh-CN"/>
        </w:rPr>
        <w:t>各市、州、县</w:t>
      </w:r>
      <w:r>
        <w:rPr>
          <w:rFonts w:hint="eastAsia" w:ascii="仿宋_GB2312" w:hAnsi="仿宋_GB2312" w:eastAsia="仿宋_GB2312" w:cs="仿宋_GB2312"/>
          <w:color w:val="auto"/>
          <w:kern w:val="0"/>
          <w:sz w:val="32"/>
          <w:szCs w:val="32"/>
          <w:lang w:val="en-US" w:eastAsia="zh-CN"/>
        </w:rPr>
        <w:t>公</w:t>
      </w:r>
      <w:r>
        <w:rPr>
          <w:rFonts w:hint="eastAsia" w:ascii="仿宋_GB2312" w:hAnsi="仿宋_GB2312" w:eastAsia="仿宋_GB2312" w:cs="仿宋_GB2312"/>
          <w:color w:val="auto"/>
          <w:kern w:val="0"/>
          <w:sz w:val="32"/>
          <w:szCs w:val="32"/>
          <w:lang w:val="zh-CN"/>
        </w:rPr>
        <w:t>共资源交易监督管理局：</w:t>
      </w:r>
    </w:p>
    <w:p>
      <w:pPr>
        <w:pStyle w:val="4"/>
        <w:keepNext w:val="0"/>
        <w:keepLines w:val="0"/>
        <w:pageBreakBefore w:val="0"/>
        <w:widowControl w:val="0"/>
        <w:kinsoku/>
        <w:wordWrap/>
        <w:overflowPunct/>
        <w:topLinePunct w:val="0"/>
        <w:autoSpaceDE w:val="0"/>
        <w:autoSpaceDN w:val="0"/>
        <w:bidi w:val="0"/>
        <w:adjustRightInd/>
        <w:snapToGrid/>
        <w:spacing w:before="0" w:after="0" w:line="579" w:lineRule="exact"/>
        <w:ind w:left="0" w:leftChars="0" w:right="0" w:firstLine="640" w:firstLineChars="200"/>
        <w:jc w:val="both"/>
        <w:textAlignment w:val="auto"/>
        <w:rPr>
          <w:rFonts w:hint="default" w:ascii="仿宋_GB2312" w:hAnsi="仿宋_GB2312" w:eastAsia="仿宋_GB2312" w:cs="仿宋_GB2312"/>
          <w:color w:val="auto"/>
          <w:kern w:val="0"/>
          <w:sz w:val="32"/>
          <w:szCs w:val="32"/>
          <w:lang w:val="en-US" w:eastAsia="zh-CN" w:bidi="zh-CN"/>
        </w:rPr>
      </w:pPr>
      <w:r>
        <w:rPr>
          <w:rFonts w:hint="eastAsia" w:ascii="仿宋_GB2312" w:hAnsi="方正仿宋_GBK" w:eastAsia="仿宋_GB2312" w:cs="方正仿宋_GBK"/>
          <w:sz w:val="32"/>
          <w:szCs w:val="32"/>
          <w:lang w:val="en-US" w:eastAsia="zh-CN"/>
        </w:rPr>
        <w:drawing>
          <wp:anchor distT="0" distB="0" distL="114300" distR="114300" simplePos="0" relativeHeight="251659264" behindDoc="1" locked="0" layoutInCell="1" allowOverlap="1">
            <wp:simplePos x="0" y="0"/>
            <wp:positionH relativeFrom="column">
              <wp:posOffset>3361690</wp:posOffset>
            </wp:positionH>
            <wp:positionV relativeFrom="paragraph">
              <wp:posOffset>716280</wp:posOffset>
            </wp:positionV>
            <wp:extent cx="1602740" cy="1604645"/>
            <wp:effectExtent l="0" t="0" r="16510" b="14605"/>
            <wp:wrapNone/>
            <wp:docPr id="1" name="图片 7" descr="公共资源交易监督管理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公共资源交易监督管理局"/>
                    <pic:cNvPicPr>
                      <a:picLocks noChangeAspect="1"/>
                    </pic:cNvPicPr>
                  </pic:nvPicPr>
                  <pic:blipFill>
                    <a:blip r:embed="rId5"/>
                    <a:stretch>
                      <a:fillRect/>
                    </a:stretch>
                  </pic:blipFill>
                  <pic:spPr>
                    <a:xfrm>
                      <a:off x="0" y="0"/>
                      <a:ext cx="1602740" cy="1604645"/>
                    </a:xfrm>
                    <a:prstGeom prst="rect">
                      <a:avLst/>
                    </a:prstGeom>
                    <a:noFill/>
                    <a:ln>
                      <a:noFill/>
                    </a:ln>
                  </pic:spPr>
                </pic:pic>
              </a:graphicData>
            </a:graphic>
          </wp:anchor>
        </w:drawing>
      </w:r>
      <w:r>
        <w:rPr>
          <w:rFonts w:hint="eastAsia" w:ascii="仿宋_GB2312" w:hAnsi="仿宋_GB2312" w:eastAsia="仿宋_GB2312" w:cs="仿宋_GB2312"/>
          <w:color w:val="auto"/>
          <w:kern w:val="0"/>
          <w:sz w:val="32"/>
          <w:szCs w:val="32"/>
          <w:lang w:val="en-US" w:eastAsia="zh-CN"/>
        </w:rPr>
        <w:t>现将</w:t>
      </w:r>
      <w:r>
        <w:rPr>
          <w:rFonts w:hint="eastAsia" w:ascii="仿宋_GB2312" w:hAnsi="仿宋_GB2312" w:eastAsia="仿宋_GB2312" w:cs="仿宋_GB2312"/>
          <w:color w:val="auto"/>
          <w:kern w:val="0"/>
          <w:sz w:val="32"/>
          <w:szCs w:val="32"/>
          <w:lang w:val="en-US" w:eastAsia="zh-CN" w:bidi="zh-CN"/>
        </w:rPr>
        <w:t>《关于统筹推进优化营商环境改革试点工作的措施》印发给你们，请结合实际抓好贯彻落实。</w:t>
      </w:r>
    </w:p>
    <w:p>
      <w:pPr>
        <w:pStyle w:val="4"/>
        <w:keepNext w:val="0"/>
        <w:keepLines w:val="0"/>
        <w:pageBreakBefore w:val="0"/>
        <w:widowControl w:val="0"/>
        <w:kinsoku/>
        <w:wordWrap/>
        <w:overflowPunct/>
        <w:topLinePunct w:val="0"/>
        <w:autoSpaceDE w:val="0"/>
        <w:autoSpaceDN w:val="0"/>
        <w:bidi w:val="0"/>
        <w:adjustRightInd/>
        <w:snapToGrid/>
        <w:spacing w:before="0" w:after="0" w:line="420" w:lineRule="exact"/>
        <w:ind w:left="0" w:leftChars="0" w:right="0" w:firstLine="641" w:firstLineChars="0"/>
        <w:jc w:val="both"/>
        <w:textAlignment w:val="auto"/>
        <w:rPr>
          <w:rFonts w:hint="eastAsia" w:ascii="仿宋_GB2312" w:hAnsi="仿宋_GB2312" w:eastAsia="仿宋_GB2312" w:cs="仿宋_GB2312"/>
          <w:color w:val="auto"/>
          <w:kern w:val="0"/>
          <w:sz w:val="32"/>
          <w:szCs w:val="32"/>
          <w:lang w:val="en-US" w:eastAsia="zh-CN"/>
        </w:rPr>
      </w:pPr>
    </w:p>
    <w:p>
      <w:pPr>
        <w:pStyle w:val="4"/>
        <w:keepNext w:val="0"/>
        <w:keepLines w:val="0"/>
        <w:pageBreakBefore w:val="0"/>
        <w:widowControl w:val="0"/>
        <w:kinsoku/>
        <w:wordWrap/>
        <w:overflowPunct/>
        <w:topLinePunct w:val="0"/>
        <w:autoSpaceDE w:val="0"/>
        <w:autoSpaceDN w:val="0"/>
        <w:bidi w:val="0"/>
        <w:adjustRightInd/>
        <w:snapToGrid/>
        <w:spacing w:before="0" w:after="0" w:line="420" w:lineRule="exact"/>
        <w:ind w:left="0" w:leftChars="0" w:right="0" w:firstLine="641" w:firstLineChars="0"/>
        <w:jc w:val="both"/>
        <w:textAlignment w:val="auto"/>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numPr>
          <w:ilvl w:val="0"/>
          <w:numId w:val="0"/>
        </w:numPr>
        <w:kinsoku/>
        <w:wordWrap/>
        <w:overflowPunct/>
        <w:topLinePunct w:val="0"/>
        <w:bidi w:val="0"/>
        <w:adjustRightInd/>
        <w:snapToGrid/>
        <w:spacing w:line="579" w:lineRule="exact"/>
        <w:ind w:left="4200" w:leftChars="2000" w:firstLine="0" w:firstLineChars="0"/>
        <w:jc w:val="center"/>
        <w:textAlignment w:val="auto"/>
        <w:rPr>
          <w:rFonts w:hint="eastAsia" w:ascii="仿宋_GB2312" w:hAnsi="方正仿宋_GBK" w:eastAsia="仿宋_GB2312" w:cs="方正仿宋_GBK"/>
          <w:sz w:val="32"/>
          <w:szCs w:val="32"/>
          <w:lang w:val="en-US" w:eastAsia="zh-CN"/>
        </w:rPr>
      </w:pPr>
      <w:r>
        <w:rPr>
          <w:rFonts w:hint="eastAsia" w:ascii="仿宋_GB2312" w:hAnsi="方正仿宋_GBK" w:eastAsia="仿宋_GB2312" w:cs="方正仿宋_GBK"/>
          <w:sz w:val="32"/>
          <w:szCs w:val="32"/>
          <w:lang w:val="en-US" w:eastAsia="zh-CN"/>
        </w:rPr>
        <w:t>湖北省公共资源交易监督管理局</w:t>
      </w:r>
    </w:p>
    <w:p>
      <w:pPr>
        <w:pStyle w:val="4"/>
        <w:keepNext w:val="0"/>
        <w:keepLines w:val="0"/>
        <w:pageBreakBefore w:val="0"/>
        <w:widowControl w:val="0"/>
        <w:kinsoku/>
        <w:wordWrap/>
        <w:overflowPunct/>
        <w:topLinePunct w:val="0"/>
        <w:autoSpaceDE w:val="0"/>
        <w:autoSpaceDN w:val="0"/>
        <w:bidi w:val="0"/>
        <w:adjustRightInd/>
        <w:snapToGrid/>
        <w:spacing w:before="0" w:after="0" w:line="579" w:lineRule="exact"/>
        <w:ind w:left="4200" w:leftChars="2000" w:right="0" w:firstLine="0" w:firstLineChars="0"/>
        <w:jc w:val="center"/>
        <w:textAlignment w:val="auto"/>
        <w:rPr>
          <w:rFonts w:hint="eastAsia" w:ascii="仿宋_GB2312" w:hAnsi="方正仿宋_GBK" w:eastAsia="仿宋_GB2312" w:cs="方正仿宋_GBK"/>
          <w:sz w:val="32"/>
          <w:szCs w:val="32"/>
          <w:lang w:val="en-US" w:eastAsia="zh-CN"/>
        </w:rPr>
      </w:pPr>
      <w:r>
        <w:rPr>
          <w:rFonts w:hint="eastAsia" w:ascii="仿宋_GB2312" w:hAnsi="方正仿宋_GBK" w:eastAsia="仿宋_GB2312" w:cs="方正仿宋_GBK"/>
          <w:sz w:val="32"/>
          <w:szCs w:val="32"/>
          <w:lang w:val="en-US" w:eastAsia="zh-CN"/>
        </w:rPr>
        <w:t>2023年3月7日</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color w:val="000000"/>
          <w:sz w:val="44"/>
          <w:szCs w:val="44"/>
          <w:lang w:eastAsia="zh-CN"/>
        </w:rPr>
      </w:pPr>
      <w:r>
        <w:rPr>
          <w:rFonts w:hint="eastAsia" w:ascii="仿宋_GB2312" w:hAnsi="方正仿宋_GBK" w:eastAsia="仿宋_GB2312" w:cs="方正仿宋_GBK"/>
          <w:sz w:val="32"/>
          <w:szCs w:val="32"/>
          <w:lang w:val="en-US" w:eastAsia="zh-CN"/>
        </w:rPr>
        <w:br w:type="page"/>
      </w:r>
      <w:r>
        <w:rPr>
          <w:rFonts w:hint="eastAsia" w:ascii="方正小标宋_GBK" w:hAnsi="方正小标宋_GBK" w:eastAsia="方正小标宋_GBK" w:cs="方正小标宋_GBK"/>
          <w:color w:val="000000"/>
          <w:sz w:val="44"/>
          <w:szCs w:val="44"/>
          <w:lang w:eastAsia="zh-CN"/>
        </w:rPr>
        <w:t>关于统筹推进优化营商环境改革</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color w:val="000000"/>
          <w:sz w:val="44"/>
          <w:szCs w:val="44"/>
          <w:lang w:val="en-US" w:eastAsia="zh-CN"/>
        </w:rPr>
      </w:pPr>
      <w:r>
        <w:rPr>
          <w:rFonts w:hint="eastAsia" w:ascii="方正小标宋_GBK" w:hAnsi="方正小标宋_GBK" w:eastAsia="方正小标宋_GBK" w:cs="方正小标宋_GBK"/>
          <w:color w:val="000000"/>
          <w:sz w:val="44"/>
          <w:szCs w:val="44"/>
          <w:lang w:eastAsia="zh-CN"/>
        </w:rPr>
        <w:t>试点工作的措施</w:t>
      </w:r>
    </w:p>
    <w:p>
      <w:pPr>
        <w:pStyle w:val="4"/>
        <w:keepNext w:val="0"/>
        <w:keepLines w:val="0"/>
        <w:pageBreakBefore w:val="0"/>
        <w:widowControl w:val="0"/>
        <w:kinsoku/>
        <w:wordWrap/>
        <w:overflowPunct/>
        <w:topLinePunct w:val="0"/>
        <w:autoSpaceDE w:val="0"/>
        <w:autoSpaceDN w:val="0"/>
        <w:bidi w:val="0"/>
        <w:adjustRightInd/>
        <w:snapToGrid/>
        <w:spacing w:before="0" w:after="0" w:line="579" w:lineRule="exact"/>
        <w:ind w:left="0" w:leftChars="0" w:right="0" w:firstLine="640" w:firstLineChars="200"/>
        <w:jc w:val="both"/>
        <w:textAlignment w:val="auto"/>
        <w:rPr>
          <w:rFonts w:hint="eastAsia" w:ascii="仿宋_GB2312" w:hAnsi="仿宋_GB2312" w:eastAsia="仿宋_GB2312" w:cs="仿宋_GB2312"/>
          <w:color w:val="auto"/>
          <w:kern w:val="0"/>
          <w:sz w:val="32"/>
          <w:szCs w:val="32"/>
          <w:lang w:val="en-US" w:eastAsia="zh-CN"/>
        </w:rPr>
      </w:pPr>
    </w:p>
    <w:p>
      <w:pPr>
        <w:pStyle w:val="4"/>
        <w:keepNext w:val="0"/>
        <w:keepLines w:val="0"/>
        <w:pageBreakBefore w:val="0"/>
        <w:widowControl w:val="0"/>
        <w:kinsoku/>
        <w:wordWrap/>
        <w:overflowPunct/>
        <w:topLinePunct w:val="0"/>
        <w:autoSpaceDE w:val="0"/>
        <w:autoSpaceDN w:val="0"/>
        <w:bidi w:val="0"/>
        <w:adjustRightInd/>
        <w:snapToGrid/>
        <w:spacing w:before="0" w:after="0" w:line="579" w:lineRule="exact"/>
        <w:ind w:left="0" w:leftChars="0" w:right="0" w:firstLine="640" w:firstLineChars="200"/>
        <w:jc w:val="both"/>
        <w:textAlignment w:val="auto"/>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为深入贯彻全省优化营商环境大会精神，深化营商环境先行区创建工作，现就统筹推进公共资源交易领域优化营商环境改革试点工作提出如下措施：</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CESI楷体-GB2312" w:hAnsi="CESI楷体-GB2312" w:eastAsia="CESI楷体-GB2312" w:cs="CESI楷体-GB2312"/>
          <w:color w:val="auto"/>
          <w:kern w:val="0"/>
          <w:sz w:val="32"/>
          <w:szCs w:val="32"/>
          <w:lang w:val="en-US" w:eastAsia="zh-CN" w:bidi="zh-CN"/>
        </w:rPr>
      </w:pPr>
      <w:r>
        <w:rPr>
          <w:rFonts w:hint="eastAsia" w:ascii="CESI黑体-GB2312" w:hAnsi="CESI黑体-GB2312" w:eastAsia="CESI黑体-GB2312" w:cs="CESI黑体-GB2312"/>
          <w:color w:val="auto"/>
          <w:kern w:val="0"/>
          <w:sz w:val="32"/>
          <w:szCs w:val="32"/>
          <w:lang w:val="en-US" w:eastAsia="zh-CN" w:bidi="zh-CN"/>
        </w:rPr>
        <w:t>一、推进“评定分离”改革试点规范化</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楷体_GB2312" w:hAnsi="楷体_GB2312" w:eastAsia="楷体_GB2312" w:cs="楷体_GB2312"/>
          <w:sz w:val="32"/>
          <w:szCs w:val="32"/>
          <w:lang w:val="en-US" w:eastAsia="zh-CN"/>
        </w:rPr>
      </w:pPr>
      <w:r>
        <w:rPr>
          <w:rFonts w:hint="eastAsia" w:ascii="仿宋_GB2312" w:hAnsi="方正仿宋_GBK" w:eastAsia="仿宋_GB2312" w:cs="方正仿宋_GBK"/>
          <w:sz w:val="32"/>
          <w:szCs w:val="32"/>
          <w:lang w:val="en-US" w:eastAsia="zh-CN"/>
        </w:rPr>
        <w:t>省本级项目由招标人按自愿方式实施，保康县、夷陵区、竹溪县、武穴市、沙洋县、宣恩县等6个试点地区继续在工程建设领域推进改革探索，6个试点县市所在市（州）聚焦</w:t>
      </w:r>
      <w:r>
        <w:rPr>
          <w:rFonts w:hint="eastAsia" w:ascii="仿宋_GB2312" w:hAnsi="方正仿宋_GBK" w:eastAsia="仿宋_GB2312" w:cs="方正仿宋_GBK"/>
          <w:sz w:val="32"/>
          <w:szCs w:val="32"/>
        </w:rPr>
        <w:t>房屋建筑和市政基础设施工程</w:t>
      </w:r>
      <w:r>
        <w:rPr>
          <w:rFonts w:hint="eastAsia" w:ascii="仿宋_GB2312" w:hAnsi="方正仿宋_GBK" w:eastAsia="仿宋_GB2312" w:cs="方正仿宋_GBK"/>
          <w:sz w:val="32"/>
          <w:szCs w:val="32"/>
          <w:lang w:eastAsia="zh-CN"/>
        </w:rPr>
        <w:t>领域推进改革规范化。其他地区自主跟进改革的，以市（州）为单位</w:t>
      </w:r>
      <w:r>
        <w:rPr>
          <w:rFonts w:hint="eastAsia" w:ascii="仿宋_GB2312" w:hAnsi="方正仿宋_GBK" w:eastAsia="仿宋_GB2312" w:cs="方正仿宋_GBK"/>
          <w:sz w:val="32"/>
          <w:szCs w:val="32"/>
          <w:lang w:val="en-US" w:eastAsia="zh-CN"/>
        </w:rPr>
        <w:t>报省局备案。</w:t>
      </w:r>
      <w:r>
        <w:rPr>
          <w:rFonts w:hint="eastAsia" w:ascii="楷体_GB2312" w:hAnsi="楷体_GB2312" w:eastAsia="楷体_GB2312" w:cs="楷体_GB2312"/>
          <w:sz w:val="32"/>
          <w:szCs w:val="32"/>
          <w:lang w:val="en-US" w:eastAsia="zh-CN"/>
        </w:rPr>
        <w:t>（责任处室：法规处）</w:t>
      </w:r>
    </w:p>
    <w:p>
      <w:pPr>
        <w:keepNext w:val="0"/>
        <w:keepLines w:val="0"/>
        <w:pageBreakBefore w:val="0"/>
        <w:widowControl w:val="0"/>
        <w:kinsoku/>
        <w:wordWrap/>
        <w:overflowPunct/>
        <w:topLinePunct w:val="0"/>
        <w:autoSpaceDE/>
        <w:autoSpaceDN/>
        <w:bidi w:val="0"/>
        <w:adjustRightInd/>
        <w:snapToGrid/>
        <w:spacing w:line="579" w:lineRule="exact"/>
        <w:ind w:leftChars="0" w:firstLine="640" w:firstLineChars="200"/>
        <w:textAlignment w:val="auto"/>
        <w:rPr>
          <w:rFonts w:hint="eastAsia" w:ascii="楷体_GB2312" w:hAnsi="楷体_GB2312" w:eastAsia="楷体_GB2312" w:cs="楷体_GB2312"/>
          <w:sz w:val="32"/>
          <w:szCs w:val="32"/>
          <w:lang w:val="en-US" w:eastAsia="zh-CN"/>
        </w:rPr>
      </w:pPr>
      <w:r>
        <w:rPr>
          <w:rFonts w:hint="eastAsia" w:ascii="仿宋_GB2312" w:hAnsi="方正仿宋_GBK" w:eastAsia="仿宋_GB2312" w:cs="方正仿宋_GBK"/>
          <w:sz w:val="32"/>
          <w:szCs w:val="32"/>
          <w:lang w:val="en-US" w:eastAsia="zh-CN"/>
        </w:rPr>
        <w:t>完善“评定分离”工作程序，</w:t>
      </w:r>
      <w:r>
        <w:rPr>
          <w:rFonts w:hint="eastAsia" w:ascii="仿宋_GB2312" w:hAnsi="方正仿宋_GBK" w:eastAsia="仿宋_GB2312" w:cs="方正仿宋_GBK"/>
          <w:color w:val="auto"/>
          <w:sz w:val="32"/>
          <w:szCs w:val="32"/>
        </w:rPr>
        <w:t>扩大信用</w:t>
      </w:r>
      <w:r>
        <w:rPr>
          <w:rFonts w:hint="eastAsia" w:ascii="仿宋_GB2312" w:hAnsi="方正仿宋_GBK" w:eastAsia="仿宋_GB2312" w:cs="方正仿宋_GBK"/>
          <w:color w:val="auto"/>
          <w:sz w:val="32"/>
          <w:szCs w:val="32"/>
          <w:lang w:eastAsia="zh-CN"/>
        </w:rPr>
        <w:t>评价</w:t>
      </w:r>
      <w:r>
        <w:rPr>
          <w:rFonts w:hint="eastAsia" w:ascii="仿宋_GB2312" w:hAnsi="方正仿宋_GBK" w:eastAsia="仿宋_GB2312" w:cs="方正仿宋_GBK"/>
          <w:color w:val="auto"/>
          <w:sz w:val="32"/>
          <w:szCs w:val="32"/>
        </w:rPr>
        <w:t>在</w:t>
      </w:r>
      <w:r>
        <w:rPr>
          <w:rFonts w:hint="eastAsia" w:ascii="仿宋_GB2312" w:hAnsi="方正仿宋_GBK" w:eastAsia="仿宋_GB2312" w:cs="方正仿宋_GBK"/>
          <w:color w:val="auto"/>
          <w:sz w:val="32"/>
          <w:szCs w:val="32"/>
          <w:lang w:eastAsia="zh-CN"/>
        </w:rPr>
        <w:t>定</w:t>
      </w:r>
      <w:r>
        <w:rPr>
          <w:rFonts w:hint="eastAsia" w:ascii="仿宋_GB2312" w:hAnsi="方正仿宋_GBK" w:eastAsia="仿宋_GB2312" w:cs="方正仿宋_GBK"/>
          <w:color w:val="auto"/>
          <w:sz w:val="32"/>
          <w:szCs w:val="32"/>
        </w:rPr>
        <w:t>标环节的应用</w:t>
      </w:r>
      <w:r>
        <w:rPr>
          <w:rFonts w:hint="eastAsia" w:ascii="仿宋_GB2312" w:hAnsi="方正仿宋_GBK" w:eastAsia="仿宋_GB2312" w:cs="方正仿宋_GBK"/>
          <w:color w:val="auto"/>
          <w:sz w:val="32"/>
          <w:szCs w:val="32"/>
          <w:lang w:eastAsia="zh-CN"/>
        </w:rPr>
        <w:t>场景</w:t>
      </w:r>
      <w:r>
        <w:rPr>
          <w:rFonts w:hint="eastAsia" w:ascii="仿宋_GB2312" w:hAnsi="方正仿宋_GBK" w:eastAsia="仿宋_GB2312" w:cs="方正仿宋_GBK"/>
          <w:color w:val="auto"/>
          <w:sz w:val="32"/>
          <w:szCs w:val="32"/>
        </w:rPr>
        <w:t>，引导</w:t>
      </w:r>
      <w:r>
        <w:rPr>
          <w:rFonts w:hint="eastAsia" w:ascii="仿宋_GB2312" w:hAnsi="方正仿宋_GBK" w:eastAsia="仿宋_GB2312" w:cs="方正仿宋_GBK"/>
          <w:color w:val="auto"/>
          <w:sz w:val="32"/>
          <w:szCs w:val="32"/>
          <w:lang w:eastAsia="zh-CN"/>
        </w:rPr>
        <w:t>投标人不断强化企业信用建设</w:t>
      </w:r>
      <w:r>
        <w:rPr>
          <w:rFonts w:hint="eastAsia" w:ascii="仿宋_GB2312" w:hAnsi="方正仿宋_GBK" w:eastAsia="仿宋_GB2312" w:cs="方正仿宋_GBK"/>
          <w:color w:val="auto"/>
          <w:sz w:val="32"/>
          <w:szCs w:val="32"/>
        </w:rPr>
        <w:t>。坚持择优与竞价相结合的原则</w:t>
      </w:r>
      <w:r>
        <w:rPr>
          <w:rFonts w:hint="eastAsia" w:ascii="仿宋_GB2312" w:hAnsi="方正仿宋_GBK" w:eastAsia="仿宋_GB2312" w:cs="方正仿宋_GBK"/>
          <w:color w:val="auto"/>
          <w:sz w:val="32"/>
          <w:szCs w:val="32"/>
          <w:lang w:eastAsia="zh-CN"/>
        </w:rPr>
        <w:t>，引导招标人在</w:t>
      </w:r>
      <w:r>
        <w:rPr>
          <w:rFonts w:hint="eastAsia" w:ascii="仿宋_GB2312" w:hAnsi="方正仿宋_GBK" w:eastAsia="仿宋_GB2312" w:cs="方正仿宋_GBK"/>
          <w:color w:val="auto"/>
          <w:sz w:val="32"/>
          <w:szCs w:val="32"/>
        </w:rPr>
        <w:t>定标环节</w:t>
      </w:r>
      <w:r>
        <w:rPr>
          <w:rFonts w:hint="eastAsia" w:ascii="仿宋_GB2312" w:hAnsi="方正仿宋_GBK" w:eastAsia="仿宋_GB2312" w:cs="方正仿宋_GBK"/>
          <w:color w:val="auto"/>
          <w:sz w:val="32"/>
          <w:szCs w:val="32"/>
          <w:lang w:eastAsia="zh-CN"/>
        </w:rPr>
        <w:t>强化价格</w:t>
      </w:r>
      <w:r>
        <w:rPr>
          <w:rFonts w:hint="eastAsia" w:ascii="仿宋_GB2312" w:hAnsi="方正仿宋_GBK" w:eastAsia="仿宋_GB2312" w:cs="方正仿宋_GBK"/>
          <w:color w:val="auto"/>
          <w:sz w:val="32"/>
          <w:szCs w:val="32"/>
        </w:rPr>
        <w:t>因素</w:t>
      </w:r>
      <w:r>
        <w:rPr>
          <w:rFonts w:hint="eastAsia" w:ascii="仿宋_GB2312" w:hAnsi="方正仿宋_GBK" w:eastAsia="仿宋_GB2312" w:cs="方正仿宋_GBK"/>
          <w:color w:val="auto"/>
          <w:sz w:val="32"/>
          <w:szCs w:val="32"/>
          <w:lang w:eastAsia="zh-CN"/>
        </w:rPr>
        <w:t>考量权重</w:t>
      </w:r>
      <w:r>
        <w:rPr>
          <w:rFonts w:hint="eastAsia" w:ascii="仿宋_GB2312" w:hAnsi="方正仿宋_GBK" w:eastAsia="仿宋_GB2312" w:cs="方正仿宋_GBK"/>
          <w:color w:val="auto"/>
          <w:sz w:val="32"/>
          <w:szCs w:val="32"/>
        </w:rPr>
        <w:t>。</w:t>
      </w:r>
      <w:r>
        <w:rPr>
          <w:rFonts w:hint="eastAsia" w:ascii="仿宋_GB2312" w:hAnsi="方正仿宋_GBK" w:eastAsia="仿宋_GB2312" w:cs="方正仿宋_GBK"/>
          <w:color w:val="auto"/>
          <w:sz w:val="32"/>
          <w:szCs w:val="32"/>
          <w:lang w:val="en-US" w:eastAsia="zh-CN"/>
        </w:rPr>
        <w:t>规范</w:t>
      </w:r>
      <w:r>
        <w:rPr>
          <w:rFonts w:hint="eastAsia" w:ascii="仿宋_GB2312" w:hAnsi="方正仿宋_GBK" w:eastAsia="仿宋_GB2312" w:cs="方正仿宋_GBK"/>
          <w:color w:val="auto"/>
          <w:sz w:val="32"/>
          <w:szCs w:val="32"/>
        </w:rPr>
        <w:t>评标专家</w:t>
      </w:r>
      <w:r>
        <w:rPr>
          <w:rFonts w:hint="eastAsia" w:ascii="仿宋_GB2312" w:hAnsi="方正仿宋_GBK" w:eastAsia="仿宋_GB2312" w:cs="方正仿宋_GBK"/>
          <w:color w:val="auto"/>
          <w:sz w:val="32"/>
          <w:szCs w:val="32"/>
          <w:lang w:val="en-US" w:eastAsia="zh-CN"/>
        </w:rPr>
        <w:t>出具的</w:t>
      </w:r>
      <w:r>
        <w:rPr>
          <w:rFonts w:hint="eastAsia" w:ascii="仿宋_GB2312" w:hAnsi="方正仿宋_GBK" w:eastAsia="仿宋_GB2312" w:cs="方正仿宋_GBK"/>
          <w:color w:val="auto"/>
          <w:sz w:val="32"/>
          <w:szCs w:val="32"/>
          <w:lang w:eastAsia="zh-CN"/>
        </w:rPr>
        <w:t>推荐</w:t>
      </w:r>
      <w:r>
        <w:rPr>
          <w:rFonts w:hint="eastAsia" w:ascii="仿宋_GB2312" w:hAnsi="方正仿宋_GBK" w:eastAsia="仿宋_GB2312" w:cs="方正仿宋_GBK"/>
          <w:color w:val="auto"/>
          <w:sz w:val="32"/>
          <w:szCs w:val="32"/>
        </w:rPr>
        <w:t>意见</w:t>
      </w:r>
      <w:r>
        <w:rPr>
          <w:rFonts w:hint="eastAsia" w:ascii="仿宋_GB2312" w:hAnsi="方正仿宋_GBK" w:eastAsia="仿宋_GB2312" w:cs="方正仿宋_GBK"/>
          <w:color w:val="auto"/>
          <w:sz w:val="32"/>
          <w:szCs w:val="32"/>
          <w:lang w:eastAsia="zh-CN"/>
        </w:rPr>
        <w:t>，为</w:t>
      </w:r>
      <w:r>
        <w:rPr>
          <w:rFonts w:hint="eastAsia" w:ascii="仿宋_GB2312" w:hAnsi="方正仿宋_GBK" w:eastAsia="仿宋_GB2312" w:cs="方正仿宋_GBK"/>
          <w:color w:val="auto"/>
          <w:sz w:val="32"/>
          <w:szCs w:val="32"/>
        </w:rPr>
        <w:t>定标委员会</w:t>
      </w:r>
      <w:r>
        <w:rPr>
          <w:rFonts w:hint="eastAsia" w:ascii="仿宋_GB2312" w:hAnsi="方正仿宋_GBK" w:eastAsia="仿宋_GB2312" w:cs="方正仿宋_GBK"/>
          <w:color w:val="auto"/>
          <w:sz w:val="32"/>
          <w:szCs w:val="32"/>
          <w:lang w:eastAsia="zh-CN"/>
        </w:rPr>
        <w:t>提供定标</w:t>
      </w:r>
      <w:r>
        <w:rPr>
          <w:rFonts w:hint="eastAsia" w:ascii="仿宋_GB2312" w:hAnsi="方正仿宋_GBK" w:eastAsia="仿宋_GB2312" w:cs="方正仿宋_GBK"/>
          <w:color w:val="auto"/>
          <w:sz w:val="32"/>
          <w:szCs w:val="32"/>
          <w:lang w:val="en-US" w:eastAsia="zh-CN"/>
        </w:rPr>
        <w:t>依据</w:t>
      </w:r>
      <w:r>
        <w:rPr>
          <w:rFonts w:hint="eastAsia" w:ascii="仿宋_GB2312" w:hAnsi="方正仿宋_GBK" w:eastAsia="仿宋_GB2312" w:cs="方正仿宋_GBK"/>
          <w:color w:val="auto"/>
          <w:sz w:val="32"/>
          <w:szCs w:val="32"/>
        </w:rPr>
        <w:t>。</w:t>
      </w:r>
      <w:r>
        <w:rPr>
          <w:rFonts w:hint="eastAsia" w:ascii="楷体_GB2312" w:hAnsi="楷体_GB2312" w:eastAsia="楷体_GB2312" w:cs="楷体_GB2312"/>
          <w:sz w:val="32"/>
          <w:szCs w:val="32"/>
          <w:lang w:val="en-US" w:eastAsia="zh-CN"/>
        </w:rPr>
        <w:t>（责任处室：法规处）</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CESI黑体-GB2312" w:hAnsi="CESI黑体-GB2312" w:eastAsia="CESI黑体-GB2312" w:cs="CESI黑体-GB2312"/>
          <w:color w:val="auto"/>
          <w:kern w:val="0"/>
          <w:sz w:val="32"/>
          <w:szCs w:val="32"/>
          <w:lang w:val="en-US" w:eastAsia="zh-CN" w:bidi="zh-CN"/>
        </w:rPr>
      </w:pPr>
      <w:r>
        <w:rPr>
          <w:rFonts w:hint="eastAsia" w:ascii="CESI黑体-GB2312" w:hAnsi="CESI黑体-GB2312" w:eastAsia="CESI黑体-GB2312" w:cs="CESI黑体-GB2312"/>
          <w:color w:val="auto"/>
          <w:kern w:val="0"/>
          <w:sz w:val="32"/>
          <w:szCs w:val="32"/>
          <w:lang w:val="en-US" w:eastAsia="zh-CN" w:bidi="zh-CN"/>
        </w:rPr>
        <w:t>二、推进</w:t>
      </w:r>
      <w:r>
        <w:rPr>
          <w:rFonts w:hint="default" w:ascii="CESI黑体-GB2312" w:hAnsi="CESI黑体-GB2312" w:eastAsia="CESI黑体-GB2312" w:cs="CESI黑体-GB2312"/>
          <w:color w:val="auto"/>
          <w:kern w:val="0"/>
          <w:sz w:val="32"/>
          <w:szCs w:val="32"/>
          <w:lang w:val="en-US" w:eastAsia="zh-CN" w:bidi="zh-CN"/>
        </w:rPr>
        <w:t>“一网通投”</w:t>
      </w:r>
      <w:r>
        <w:rPr>
          <w:rFonts w:hint="eastAsia" w:ascii="CESI黑体-GB2312" w:hAnsi="CESI黑体-GB2312" w:eastAsia="CESI黑体-GB2312" w:cs="CESI黑体-GB2312"/>
          <w:color w:val="auto"/>
          <w:kern w:val="0"/>
          <w:sz w:val="32"/>
          <w:szCs w:val="32"/>
          <w:lang w:val="en-US" w:eastAsia="zh-CN" w:bidi="zh-CN"/>
        </w:rPr>
        <w:t>改革</w:t>
      </w:r>
      <w:r>
        <w:rPr>
          <w:rFonts w:hint="default" w:ascii="CESI黑体-GB2312" w:hAnsi="CESI黑体-GB2312" w:eastAsia="CESI黑体-GB2312" w:cs="CESI黑体-GB2312"/>
          <w:color w:val="auto"/>
          <w:kern w:val="0"/>
          <w:sz w:val="32"/>
          <w:szCs w:val="32"/>
          <w:lang w:val="en-US" w:eastAsia="zh-CN" w:bidi="zh-CN"/>
        </w:rPr>
        <w:t>试点</w:t>
      </w:r>
      <w:r>
        <w:rPr>
          <w:rFonts w:hint="eastAsia" w:ascii="CESI黑体-GB2312" w:hAnsi="CESI黑体-GB2312" w:eastAsia="CESI黑体-GB2312" w:cs="CESI黑体-GB2312"/>
          <w:color w:val="auto"/>
          <w:kern w:val="0"/>
          <w:sz w:val="32"/>
          <w:szCs w:val="32"/>
          <w:lang w:val="en-US" w:eastAsia="zh-CN" w:bidi="zh-CN"/>
        </w:rPr>
        <w:t>市域全覆盖</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default"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在2022年武汉东湖高新区、荆州、宜都、钟祥等市、县“一网通投”改革试点的基础上，将试点范围扩大到荆州、宜昌、荆门市全域，实现基于电子营业执照信息共享、身份认证、电子签章和文件加解密等功能。其他市州县可向省局申报，由省局牵头推进。</w:t>
      </w:r>
      <w:r>
        <w:rPr>
          <w:rFonts w:hint="eastAsia" w:ascii="楷体_GB2312" w:hAnsi="楷体_GB2312" w:eastAsia="楷体_GB2312" w:cs="楷体_GB2312"/>
          <w:sz w:val="32"/>
          <w:szCs w:val="32"/>
          <w:lang w:val="en-US" w:eastAsia="zh-CN"/>
        </w:rPr>
        <w:t>（责任处室：信息技术处）</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CESI黑体-GB2312" w:hAnsi="CESI黑体-GB2312" w:eastAsia="CESI黑体-GB2312" w:cs="CESI黑体-GB2312"/>
          <w:color w:val="auto"/>
          <w:kern w:val="0"/>
          <w:sz w:val="32"/>
          <w:szCs w:val="32"/>
          <w:lang w:val="en-US" w:eastAsia="zh-CN" w:bidi="zh-CN"/>
        </w:rPr>
      </w:pPr>
      <w:r>
        <w:rPr>
          <w:rFonts w:hint="eastAsia" w:ascii="CESI黑体-GB2312" w:hAnsi="CESI黑体-GB2312" w:eastAsia="CESI黑体-GB2312" w:cs="CESI黑体-GB2312"/>
          <w:color w:val="auto"/>
          <w:kern w:val="0"/>
          <w:sz w:val="32"/>
          <w:szCs w:val="32"/>
          <w:lang w:val="en-US" w:eastAsia="zh-CN" w:bidi="zh-CN"/>
        </w:rPr>
        <w:t>三、推进县级综合监管联动执法改革县级全覆盖</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楷体_GB2312" w:hAnsi="楷体_GB2312" w:eastAsia="楷体_GB2312" w:cs="楷体_GB2312"/>
          <w:sz w:val="32"/>
          <w:szCs w:val="32"/>
          <w:lang w:val="en-US" w:eastAsia="zh-CN"/>
        </w:rPr>
      </w:pPr>
      <w:r>
        <w:rPr>
          <w:rFonts w:hint="eastAsia" w:ascii="仿宋_GB2312" w:hAnsi="方正仿宋_GBK" w:eastAsia="仿宋_GB2312" w:cs="方正仿宋_GBK"/>
          <w:sz w:val="32"/>
          <w:szCs w:val="32"/>
          <w:lang w:val="en-US" w:eastAsia="zh-CN"/>
        </w:rPr>
        <w:t>全省</w:t>
      </w:r>
      <w:r>
        <w:rPr>
          <w:rFonts w:hint="eastAsia" w:ascii="仿宋_GB2312" w:hAnsi="仿宋_GB2312" w:eastAsia="仿宋_GB2312" w:cs="仿宋_GB2312"/>
          <w:i w:val="0"/>
          <w:caps w:val="0"/>
          <w:color w:val="auto"/>
          <w:spacing w:val="0"/>
          <w:sz w:val="32"/>
          <w:szCs w:val="32"/>
          <w:lang w:val="en-US" w:eastAsia="zh-CN"/>
        </w:rPr>
        <w:t>各县（市、区）全面推进县级综合监管联动执法改革。各县（市、区）可因地制宜、结合实际，自行选择三种模式中的一种，即以“五统五联”工作机制为基础，一是整合公共资源交易行政执法职能，建立统一的公共资源交易行政执法机构；二是推进公共资源交易市场监管联席办公，建立统一的公共资源交易市场监管体制；三是推进公共资源交易跨部门综合监管，建立统一的公共资源交易联动执法机制。</w:t>
      </w:r>
      <w:r>
        <w:rPr>
          <w:rFonts w:hint="eastAsia" w:ascii="楷体_GB2312" w:hAnsi="楷体_GB2312" w:eastAsia="楷体_GB2312" w:cs="楷体_GB2312"/>
          <w:sz w:val="32"/>
          <w:szCs w:val="32"/>
          <w:lang w:val="en-US" w:eastAsia="zh-CN"/>
        </w:rPr>
        <w:t>（责任处室：执法处）</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CESI黑体-GB2312" w:hAnsi="CESI黑体-GB2312" w:eastAsia="CESI黑体-GB2312" w:cs="CESI黑体-GB2312"/>
          <w:color w:val="auto"/>
          <w:kern w:val="0"/>
          <w:sz w:val="32"/>
          <w:szCs w:val="32"/>
          <w:lang w:val="en-US" w:eastAsia="zh-CN" w:bidi="zh-CN"/>
        </w:rPr>
      </w:pPr>
      <w:r>
        <w:rPr>
          <w:rFonts w:hint="eastAsia" w:ascii="CESI黑体-GB2312" w:hAnsi="CESI黑体-GB2312" w:eastAsia="CESI黑体-GB2312" w:cs="CESI黑体-GB2312"/>
          <w:color w:val="auto"/>
          <w:kern w:val="0"/>
          <w:sz w:val="32"/>
          <w:szCs w:val="32"/>
          <w:lang w:val="en-US" w:eastAsia="zh-CN" w:bidi="zh-CN"/>
        </w:rPr>
        <w:t>四、推进远程异地评标常态化</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i w:val="0"/>
          <w:caps w:val="0"/>
          <w:color w:val="auto"/>
          <w:spacing w:val="0"/>
          <w:sz w:val="32"/>
          <w:szCs w:val="32"/>
          <w:lang w:val="en-US" w:eastAsia="zh-CN"/>
        </w:rPr>
        <w:t>实现武汉市以外的</w:t>
      </w:r>
      <w:r>
        <w:rPr>
          <w:rFonts w:hint="eastAsia" w:ascii="仿宋_GB2312" w:hAnsi="方正仿宋_GBK" w:eastAsia="仿宋_GB2312" w:cs="方正仿宋_GBK"/>
          <w:sz w:val="32"/>
          <w:szCs w:val="32"/>
          <w:lang w:eastAsia="zh-CN"/>
        </w:rPr>
        <w:t>市、州、县</w:t>
      </w:r>
      <w:r>
        <w:rPr>
          <w:rFonts w:hint="eastAsia" w:ascii="仿宋_GB2312" w:hAnsi="仿宋_GB2312" w:eastAsia="仿宋_GB2312" w:cs="仿宋_GB2312"/>
          <w:i w:val="0"/>
          <w:caps w:val="0"/>
          <w:color w:val="auto"/>
          <w:spacing w:val="0"/>
          <w:sz w:val="32"/>
          <w:szCs w:val="32"/>
          <w:lang w:val="en-US" w:eastAsia="zh-CN"/>
        </w:rPr>
        <w:t>政府投资项目远程异地评标常态化</w:t>
      </w:r>
      <w:r>
        <w:rPr>
          <w:rFonts w:hint="eastAsia" w:ascii="仿宋_GB2312" w:hAnsi="方正仿宋_GBK" w:eastAsia="仿宋_GB2312" w:cs="方正仿宋_GBK"/>
          <w:sz w:val="32"/>
          <w:szCs w:val="32"/>
          <w:lang w:val="en-US" w:eastAsia="zh-CN"/>
        </w:rPr>
        <w:t>，</w:t>
      </w:r>
      <w:r>
        <w:rPr>
          <w:rFonts w:hint="eastAsia" w:ascii="仿宋_GB2312" w:hAnsi="仿宋_GB2312" w:eastAsia="仿宋_GB2312" w:cs="仿宋_GB2312"/>
          <w:i w:val="0"/>
          <w:caps w:val="0"/>
          <w:color w:val="auto"/>
          <w:spacing w:val="0"/>
          <w:sz w:val="32"/>
          <w:szCs w:val="32"/>
          <w:lang w:val="en-US" w:eastAsia="zh-CN"/>
        </w:rPr>
        <w:t>着力推动相邻区域、都市圈内、省内优质专家共享使用，督促主、客场交易中心优化服务，严格标后考核，</w:t>
      </w:r>
      <w:r>
        <w:rPr>
          <w:rFonts w:hint="eastAsia" w:ascii="仿宋_GB2312" w:hAnsi="方正仿宋_GBK" w:eastAsia="仿宋_GB2312" w:cs="方正仿宋_GBK"/>
          <w:sz w:val="32"/>
          <w:szCs w:val="32"/>
          <w:lang w:val="en-US" w:eastAsia="zh-CN"/>
        </w:rPr>
        <w:t>规范</w:t>
      </w:r>
      <w:r>
        <w:rPr>
          <w:rFonts w:hint="eastAsia" w:ascii="仿宋_GB2312" w:hAnsi="仿宋_GB2312" w:eastAsia="仿宋_GB2312" w:cs="仿宋_GB2312"/>
          <w:i w:val="0"/>
          <w:caps w:val="0"/>
          <w:color w:val="auto"/>
          <w:spacing w:val="0"/>
          <w:sz w:val="32"/>
          <w:szCs w:val="32"/>
          <w:lang w:val="en-US" w:eastAsia="zh-CN"/>
        </w:rPr>
        <w:t>评标</w:t>
      </w:r>
      <w:r>
        <w:rPr>
          <w:rFonts w:hint="eastAsia" w:ascii="仿宋_GB2312" w:hAnsi="方正仿宋_GBK" w:eastAsia="仿宋_GB2312" w:cs="方正仿宋_GBK"/>
          <w:sz w:val="32"/>
          <w:szCs w:val="32"/>
          <w:lang w:val="en-US" w:eastAsia="zh-CN"/>
        </w:rPr>
        <w:t>秩序，提升评标质效。</w:t>
      </w:r>
      <w:r>
        <w:rPr>
          <w:rFonts w:hint="eastAsia" w:ascii="楷体_GB2312" w:hAnsi="楷体_GB2312" w:eastAsia="楷体_GB2312" w:cs="楷体_GB2312"/>
          <w:sz w:val="32"/>
          <w:szCs w:val="32"/>
          <w:lang w:val="en-US" w:eastAsia="zh-CN"/>
        </w:rPr>
        <w:t>（责任处室：指导协调处）</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CESI黑体-GB2312" w:hAnsi="CESI黑体-GB2312" w:eastAsia="CESI黑体-GB2312" w:cs="CESI黑体-GB2312"/>
          <w:color w:val="auto"/>
          <w:kern w:val="0"/>
          <w:sz w:val="32"/>
          <w:szCs w:val="32"/>
          <w:lang w:val="en-US" w:eastAsia="zh-CN" w:bidi="zh-CN"/>
        </w:rPr>
      </w:pPr>
      <w:r>
        <w:rPr>
          <w:rFonts w:hint="eastAsia" w:ascii="CESI黑体-GB2312" w:hAnsi="CESI黑体-GB2312" w:eastAsia="CESI黑体-GB2312" w:cs="CESI黑体-GB2312"/>
          <w:color w:val="auto"/>
          <w:kern w:val="0"/>
          <w:sz w:val="32"/>
          <w:szCs w:val="32"/>
          <w:lang w:val="en-US" w:eastAsia="zh-CN" w:bidi="zh-CN"/>
        </w:rPr>
        <w:t>五、推进招标投标全流程电子化</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i w:val="0"/>
          <w:caps w:val="0"/>
          <w:color w:val="auto"/>
          <w:spacing w:val="0"/>
          <w:sz w:val="32"/>
          <w:szCs w:val="32"/>
          <w:lang w:val="en-US" w:eastAsia="zh-CN"/>
        </w:rPr>
        <w:t>鼓励有条件的地区结合实际，积极申报全流程电子化改革，争取纳入全省优化营商环境先行区创建试点范围。不断扩展招标投标数字化业务链，实现合同签订和变更网上办理、国库支付工程款网上查询。</w:t>
      </w:r>
      <w:r>
        <w:rPr>
          <w:rFonts w:hint="eastAsia" w:ascii="楷体_GB2312" w:hAnsi="楷体_GB2312" w:eastAsia="楷体_GB2312" w:cs="楷体_GB2312"/>
          <w:sz w:val="32"/>
          <w:szCs w:val="32"/>
          <w:lang w:val="en-US" w:eastAsia="zh-CN"/>
        </w:rPr>
        <w:t>（责任处室：信息技术处）</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CESI黑体-GB2312" w:hAnsi="CESI黑体-GB2312" w:eastAsia="CESI黑体-GB2312" w:cs="CESI黑体-GB2312"/>
          <w:color w:val="auto"/>
          <w:kern w:val="0"/>
          <w:sz w:val="32"/>
          <w:szCs w:val="32"/>
          <w:lang w:val="en-US" w:eastAsia="zh-CN" w:bidi="zh-CN"/>
        </w:rPr>
      </w:pPr>
      <w:r>
        <w:rPr>
          <w:rFonts w:hint="eastAsia" w:ascii="CESI黑体-GB2312" w:hAnsi="CESI黑体-GB2312" w:eastAsia="CESI黑体-GB2312" w:cs="CESI黑体-GB2312"/>
          <w:color w:val="auto"/>
          <w:kern w:val="0"/>
          <w:sz w:val="32"/>
          <w:szCs w:val="32"/>
          <w:lang w:val="en-US" w:eastAsia="zh-CN" w:bidi="zh-CN"/>
        </w:rPr>
        <w:t>六、选择整合改革试点工作</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default" w:ascii="楷体_GB2312" w:hAnsi="楷体_GB2312" w:eastAsia="楷体_GB2312" w:cs="楷体_GB2312"/>
          <w:sz w:val="32"/>
          <w:szCs w:val="32"/>
          <w:lang w:val="en-US" w:eastAsia="zh-CN"/>
        </w:rPr>
      </w:pPr>
      <w:r>
        <w:rPr>
          <w:rFonts w:hint="eastAsia" w:ascii="仿宋_GB2312" w:hAnsi="仿宋_GB2312" w:eastAsia="仿宋_GB2312" w:cs="仿宋_GB2312"/>
          <w:i w:val="0"/>
          <w:caps w:val="0"/>
          <w:color w:val="auto"/>
          <w:spacing w:val="0"/>
          <w:sz w:val="32"/>
          <w:szCs w:val="32"/>
          <w:lang w:val="en-US" w:eastAsia="zh-CN"/>
        </w:rPr>
        <w:t>各</w:t>
      </w:r>
      <w:r>
        <w:rPr>
          <w:rFonts w:hint="eastAsia" w:ascii="仿宋_GB2312" w:hAnsi="方正仿宋_GBK" w:eastAsia="仿宋_GB2312" w:cs="方正仿宋_GBK"/>
          <w:sz w:val="32"/>
          <w:szCs w:val="32"/>
          <w:lang w:eastAsia="zh-CN"/>
        </w:rPr>
        <w:t>市、州、县公共资源交易监督管理局</w:t>
      </w:r>
      <w:r>
        <w:rPr>
          <w:rFonts w:hint="eastAsia" w:ascii="仿宋_GB2312" w:hAnsi="仿宋_GB2312" w:eastAsia="仿宋_GB2312" w:cs="仿宋_GB2312"/>
          <w:i w:val="0"/>
          <w:caps w:val="0"/>
          <w:color w:val="auto"/>
          <w:spacing w:val="0"/>
          <w:sz w:val="32"/>
          <w:szCs w:val="32"/>
          <w:lang w:val="en-US" w:eastAsia="zh-CN"/>
        </w:rPr>
        <w:t>整合各项改革事项，并</w:t>
      </w:r>
      <w:r>
        <w:rPr>
          <w:rFonts w:hint="eastAsia" w:ascii="仿宋_GB2312" w:hAnsi="方正仿宋_GBK" w:eastAsia="仿宋_GB2312" w:cs="方正仿宋_GBK"/>
          <w:sz w:val="32"/>
          <w:szCs w:val="32"/>
          <w:lang w:eastAsia="zh-CN"/>
        </w:rPr>
        <w:t>结合实际情况</w:t>
      </w:r>
      <w:r>
        <w:rPr>
          <w:rFonts w:hint="eastAsia" w:ascii="仿宋_GB2312" w:hAnsi="仿宋_GB2312" w:eastAsia="仿宋_GB2312" w:cs="仿宋_GB2312"/>
          <w:i w:val="0"/>
          <w:caps w:val="0"/>
          <w:color w:val="auto"/>
          <w:spacing w:val="0"/>
          <w:sz w:val="32"/>
          <w:szCs w:val="32"/>
          <w:lang w:val="en-US" w:eastAsia="zh-CN"/>
        </w:rPr>
        <w:t>选择改革试点推进。各市（州）加强对</w:t>
      </w:r>
      <w:r>
        <w:rPr>
          <w:rFonts w:hint="eastAsia" w:ascii="仿宋_GB2312" w:hAnsi="方正仿宋_GBK" w:eastAsia="仿宋_GB2312" w:cs="方正仿宋_GBK"/>
          <w:sz w:val="32"/>
          <w:szCs w:val="32"/>
          <w:lang w:eastAsia="zh-CN"/>
        </w:rPr>
        <w:t>县（市、区）改革试点工作的指导支持</w:t>
      </w:r>
      <w:r>
        <w:rPr>
          <w:rFonts w:hint="eastAsia" w:ascii="仿宋_GB2312" w:hAnsi="仿宋_GB2312" w:eastAsia="仿宋_GB2312" w:cs="仿宋_GB2312"/>
          <w:i w:val="0"/>
          <w:caps w:val="0"/>
          <w:color w:val="auto"/>
          <w:spacing w:val="0"/>
          <w:sz w:val="32"/>
          <w:szCs w:val="32"/>
          <w:lang w:val="en-US" w:eastAsia="zh-CN"/>
        </w:rPr>
        <w:t>，</w:t>
      </w:r>
      <w:r>
        <w:rPr>
          <w:rFonts w:hint="default" w:ascii="仿宋_GB2312" w:hAnsi="仿宋_GB2312" w:eastAsia="仿宋_GB2312" w:cs="仿宋_GB2312"/>
          <w:i w:val="0"/>
          <w:caps w:val="0"/>
          <w:color w:val="auto"/>
          <w:spacing w:val="0"/>
          <w:sz w:val="32"/>
          <w:szCs w:val="32"/>
          <w:lang w:val="en-US" w:eastAsia="zh-CN"/>
        </w:rPr>
        <w:t>形成</w:t>
      </w:r>
      <w:r>
        <w:rPr>
          <w:rFonts w:hint="eastAsia" w:ascii="仿宋_GB2312" w:hAnsi="仿宋_GB2312" w:eastAsia="仿宋_GB2312" w:cs="仿宋_GB2312"/>
          <w:i w:val="0"/>
          <w:caps w:val="0"/>
          <w:color w:val="auto"/>
          <w:spacing w:val="0"/>
          <w:sz w:val="32"/>
          <w:szCs w:val="32"/>
          <w:lang w:val="en-US" w:eastAsia="zh-CN"/>
        </w:rPr>
        <w:t>规范有序</w:t>
      </w:r>
      <w:r>
        <w:rPr>
          <w:rFonts w:hint="default" w:ascii="仿宋_GB2312" w:hAnsi="仿宋_GB2312" w:eastAsia="仿宋_GB2312" w:cs="仿宋_GB2312"/>
          <w:i w:val="0"/>
          <w:caps w:val="0"/>
          <w:color w:val="auto"/>
          <w:spacing w:val="0"/>
          <w:sz w:val="32"/>
          <w:szCs w:val="32"/>
          <w:lang w:val="en-US" w:eastAsia="zh-CN"/>
        </w:rPr>
        <w:t>、</w:t>
      </w:r>
      <w:r>
        <w:rPr>
          <w:rFonts w:hint="eastAsia" w:ascii="仿宋_GB2312" w:hAnsi="仿宋_GB2312" w:eastAsia="仿宋_GB2312" w:cs="仿宋_GB2312"/>
          <w:i w:val="0"/>
          <w:caps w:val="0"/>
          <w:color w:val="auto"/>
          <w:spacing w:val="0"/>
          <w:sz w:val="32"/>
          <w:szCs w:val="32"/>
          <w:lang w:val="en-US" w:eastAsia="zh-CN"/>
        </w:rPr>
        <w:t>统筹</w:t>
      </w:r>
      <w:r>
        <w:rPr>
          <w:rFonts w:hint="default" w:ascii="仿宋_GB2312" w:hAnsi="仿宋_GB2312" w:eastAsia="仿宋_GB2312" w:cs="仿宋_GB2312"/>
          <w:i w:val="0"/>
          <w:caps w:val="0"/>
          <w:color w:val="auto"/>
          <w:spacing w:val="0"/>
          <w:sz w:val="32"/>
          <w:szCs w:val="32"/>
          <w:lang w:val="en-US" w:eastAsia="zh-CN"/>
        </w:rPr>
        <w:t>推进的工作格局</w:t>
      </w:r>
      <w:r>
        <w:rPr>
          <w:rFonts w:hint="eastAsia" w:ascii="仿宋_GB2312" w:hAnsi="仿宋_GB2312" w:eastAsia="仿宋_GB2312" w:cs="仿宋_GB2312"/>
          <w:i w:val="0"/>
          <w:caps w:val="0"/>
          <w:color w:val="auto"/>
          <w:spacing w:val="0"/>
          <w:sz w:val="32"/>
          <w:szCs w:val="32"/>
          <w:lang w:val="en-US" w:eastAsia="zh-CN"/>
        </w:rPr>
        <w:t>。</w:t>
      </w:r>
      <w:r>
        <w:rPr>
          <w:rFonts w:hint="eastAsia" w:ascii="楷体_GB2312" w:hAnsi="楷体_GB2312" w:eastAsia="楷体_GB2312" w:cs="楷体_GB2312"/>
          <w:sz w:val="32"/>
          <w:szCs w:val="32"/>
          <w:lang w:val="en-US" w:eastAsia="zh-CN"/>
        </w:rPr>
        <w:t>（责任处室：办公室、法规处、指导协调处、执法处、信息技术处）</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default" w:ascii="CESI黑体-GB2312" w:hAnsi="CESI黑体-GB2312" w:eastAsia="CESI黑体-GB2312" w:cs="CESI黑体-GB2312"/>
          <w:color w:val="auto"/>
          <w:kern w:val="0"/>
          <w:sz w:val="32"/>
          <w:szCs w:val="32"/>
          <w:lang w:val="en-US" w:eastAsia="zh-CN" w:bidi="zh-CN"/>
        </w:rPr>
      </w:pPr>
      <w:r>
        <w:rPr>
          <w:rFonts w:hint="eastAsia" w:ascii="CESI黑体-GB2312" w:hAnsi="CESI黑体-GB2312" w:eastAsia="CESI黑体-GB2312" w:cs="CESI黑体-GB2312"/>
          <w:color w:val="auto"/>
          <w:kern w:val="0"/>
          <w:sz w:val="32"/>
          <w:szCs w:val="32"/>
          <w:lang w:val="en-US" w:eastAsia="zh-CN" w:bidi="zh-CN"/>
        </w:rPr>
        <w:t>七、</w:t>
      </w:r>
      <w:r>
        <w:rPr>
          <w:rFonts w:hint="default" w:ascii="CESI黑体-GB2312" w:hAnsi="CESI黑体-GB2312" w:eastAsia="CESI黑体-GB2312" w:cs="CESI黑体-GB2312"/>
          <w:color w:val="auto"/>
          <w:kern w:val="0"/>
          <w:sz w:val="32"/>
          <w:szCs w:val="32"/>
          <w:lang w:val="en-US" w:eastAsia="zh-CN" w:bidi="zh-CN"/>
        </w:rPr>
        <w:t>鼓励</w:t>
      </w:r>
      <w:r>
        <w:rPr>
          <w:rFonts w:hint="eastAsia" w:ascii="CESI黑体-GB2312" w:hAnsi="CESI黑体-GB2312" w:eastAsia="CESI黑体-GB2312" w:cs="CESI黑体-GB2312"/>
          <w:color w:val="auto"/>
          <w:kern w:val="0"/>
          <w:sz w:val="32"/>
          <w:szCs w:val="32"/>
          <w:lang w:val="en-US" w:eastAsia="zh-CN" w:bidi="zh-CN"/>
        </w:rPr>
        <w:t>各地积极</w:t>
      </w:r>
      <w:r>
        <w:rPr>
          <w:rFonts w:hint="default" w:ascii="CESI黑体-GB2312" w:hAnsi="CESI黑体-GB2312" w:eastAsia="CESI黑体-GB2312" w:cs="CESI黑体-GB2312"/>
          <w:color w:val="auto"/>
          <w:kern w:val="0"/>
          <w:sz w:val="32"/>
          <w:szCs w:val="32"/>
          <w:lang w:val="en-US" w:eastAsia="zh-CN" w:bidi="zh-CN"/>
        </w:rPr>
        <w:t>探索创新</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leftChars="0" w:firstLine="640" w:firstLineChars="200"/>
        <w:textAlignment w:val="auto"/>
        <w:rPr>
          <w:rFonts w:hint="eastAsia" w:ascii="楷体_GB2312" w:hAnsi="楷体_GB2312" w:eastAsia="楷体_GB2312" w:cs="楷体_GB2312"/>
          <w:sz w:val="32"/>
          <w:szCs w:val="32"/>
          <w:lang w:val="en-US" w:eastAsia="zh-CN"/>
        </w:rPr>
      </w:pPr>
      <w:r>
        <w:rPr>
          <w:rFonts w:hint="default" w:ascii="仿宋_GB2312" w:hAnsi="仿宋_GB2312" w:eastAsia="仿宋_GB2312" w:cs="仿宋_GB2312"/>
          <w:i w:val="0"/>
          <w:caps w:val="0"/>
          <w:color w:val="auto"/>
          <w:spacing w:val="0"/>
          <w:sz w:val="32"/>
          <w:szCs w:val="32"/>
          <w:lang w:val="en-US" w:eastAsia="zh-CN"/>
        </w:rPr>
        <w:t>支持各</w:t>
      </w:r>
      <w:r>
        <w:rPr>
          <w:rFonts w:hint="eastAsia" w:ascii="仿宋_GB2312" w:hAnsi="仿宋_GB2312" w:eastAsia="仿宋_GB2312" w:cs="仿宋_GB2312"/>
          <w:i w:val="0"/>
          <w:caps w:val="0"/>
          <w:color w:val="auto"/>
          <w:spacing w:val="0"/>
          <w:sz w:val="32"/>
          <w:szCs w:val="32"/>
          <w:lang w:val="en-US" w:eastAsia="zh-CN"/>
        </w:rPr>
        <w:t>地</w:t>
      </w:r>
      <w:r>
        <w:rPr>
          <w:rFonts w:hint="default" w:ascii="仿宋_GB2312" w:hAnsi="仿宋_GB2312" w:eastAsia="仿宋_GB2312" w:cs="仿宋_GB2312"/>
          <w:i w:val="0"/>
          <w:caps w:val="0"/>
          <w:color w:val="auto"/>
          <w:spacing w:val="0"/>
          <w:sz w:val="32"/>
          <w:szCs w:val="32"/>
          <w:lang w:val="en-US" w:eastAsia="zh-CN"/>
        </w:rPr>
        <w:t>先行先试</w:t>
      </w:r>
      <w:r>
        <w:rPr>
          <w:rFonts w:hint="eastAsia" w:ascii="仿宋_GB2312" w:hAnsi="仿宋_GB2312" w:eastAsia="仿宋_GB2312" w:cs="仿宋_GB2312"/>
          <w:i w:val="0"/>
          <w:caps w:val="0"/>
          <w:color w:val="auto"/>
          <w:spacing w:val="0"/>
          <w:sz w:val="32"/>
          <w:szCs w:val="32"/>
          <w:lang w:val="en-US" w:eastAsia="zh-CN"/>
        </w:rPr>
        <w:t>，及时总结报送经验信息，省局将择优进行宣传推广。年终优化营商环境考核评价中，县级综合监管联动执法改革为必须完成项，其余改革事项均为加分项。</w:t>
      </w:r>
      <w:r>
        <w:rPr>
          <w:rFonts w:hint="eastAsia" w:ascii="楷体_GB2312" w:hAnsi="楷体_GB2312" w:eastAsia="楷体_GB2312" w:cs="楷体_GB2312"/>
          <w:sz w:val="32"/>
          <w:szCs w:val="32"/>
          <w:lang w:val="en-US" w:eastAsia="zh-CN"/>
        </w:rPr>
        <w:t>（责任处室：办公室、法规处、指导协调处、执法处、信息技术处）</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textAlignment w:val="auto"/>
        <w:rPr>
          <w:rFonts w:hint="eastAsia" w:ascii="仿宋_GB2312" w:hAnsi="仿宋_GB2312" w:eastAsia="仿宋_GB2312" w:cs="仿宋_GB2312"/>
          <w:sz w:val="32"/>
          <w:szCs w:val="32"/>
          <w:lang w:val="en-US" w:eastAsia="zh-CN"/>
        </w:rPr>
      </w:pPr>
    </w:p>
    <w:p>
      <w:pPr>
        <w:pStyle w:val="3"/>
        <w:keepNext w:val="0"/>
        <w:keepLines w:val="0"/>
        <w:pageBreakBefore w:val="0"/>
        <w:widowControl w:val="0"/>
        <w:kinsoku/>
        <w:wordWrap/>
        <w:overflowPunct/>
        <w:topLinePunct w:val="0"/>
        <w:autoSpaceDE/>
        <w:autoSpaceDN/>
        <w:bidi w:val="0"/>
        <w:adjustRightInd/>
        <w:snapToGrid/>
        <w:spacing w:beforeAutospacing="0" w:afterAutospacing="0"/>
        <w:ind w:left="0" w:leftChars="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ind w:left="0" w:leftChars="0"/>
        <w:textAlignment w:val="auto"/>
        <w:rPr>
          <w:rFonts w:hint="eastAsia" w:ascii="仿宋_GB2312" w:hAnsi="仿宋_GB2312" w:eastAsia="仿宋_GB2312" w:cs="仿宋_GB2312"/>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textAlignment w:val="auto"/>
        <w:rPr>
          <w:rFonts w:hint="eastAsia" w:ascii="仿宋_GB2312" w:hAnsi="仿宋_GB2312" w:eastAsia="仿宋_GB2312" w:cs="仿宋_GB2312"/>
          <w:sz w:val="32"/>
          <w:szCs w:val="32"/>
          <w:lang w:val="en-US" w:eastAsia="zh-CN"/>
        </w:rPr>
      </w:pPr>
    </w:p>
    <w:p>
      <w:pPr>
        <w:pStyle w:val="3"/>
        <w:keepNext w:val="0"/>
        <w:keepLines w:val="0"/>
        <w:pageBreakBefore w:val="0"/>
        <w:widowControl w:val="0"/>
        <w:kinsoku/>
        <w:wordWrap/>
        <w:overflowPunct/>
        <w:topLinePunct w:val="0"/>
        <w:autoSpaceDE/>
        <w:autoSpaceDN/>
        <w:bidi w:val="0"/>
        <w:adjustRightInd/>
        <w:snapToGrid/>
        <w:spacing w:beforeAutospacing="0" w:afterAutospacing="0"/>
        <w:ind w:left="0" w:leftChars="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ind w:left="0" w:leftChars="0"/>
        <w:textAlignment w:val="auto"/>
        <w:rPr>
          <w:rFonts w:hint="eastAsia" w:ascii="仿宋_GB2312" w:hAnsi="仿宋_GB2312" w:eastAsia="仿宋_GB2312" w:cs="仿宋_GB2312"/>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ind w:left="0" w:leftChars="0"/>
        <w:textAlignment w:val="auto"/>
        <w:rPr>
          <w:rFonts w:hint="eastAsia" w:ascii="仿宋_GB2312" w:hAnsi="仿宋_GB2312" w:eastAsia="仿宋_GB2312" w:cs="仿宋_GB2312"/>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textAlignment w:val="auto"/>
        <w:rPr>
          <w:rFonts w:hint="eastAsia" w:ascii="仿宋_GB2312" w:hAnsi="仿宋_GB2312" w:eastAsia="仿宋_GB2312" w:cs="仿宋_GB2312"/>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textAlignment w:val="auto"/>
        <w:rPr>
          <w:rFonts w:hint="eastAsia" w:ascii="仿宋_GB2312" w:hAnsi="仿宋_GB2312" w:eastAsia="仿宋_GB2312" w:cs="仿宋_GB2312"/>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textAlignment w:val="auto"/>
        <w:rPr>
          <w:rFonts w:hint="eastAsia" w:ascii="仿宋_GB2312" w:hAnsi="仿宋_GB2312" w:eastAsia="仿宋_GB2312" w:cs="仿宋_GB2312"/>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left="0" w:leftChars="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pBdr>
          <w:top w:val="single" w:color="auto" w:sz="12" w:space="1"/>
          <w:left w:val="none" w:color="auto" w:sz="0" w:space="4"/>
          <w:bottom w:val="single" w:color="auto" w:sz="12" w:space="1"/>
          <w:right w:val="none" w:color="auto" w:sz="0" w:space="4"/>
          <w:between w:val="none" w:color="auto" w:sz="0" w:space="0"/>
        </w:pBdr>
        <w:kinsoku/>
        <w:wordWrap/>
        <w:overflowPunct/>
        <w:topLinePunct w:val="0"/>
        <w:autoSpaceDE/>
        <w:autoSpaceDN/>
        <w:bidi w:val="0"/>
        <w:adjustRightInd/>
        <w:snapToGrid/>
        <w:spacing w:beforeAutospacing="0" w:afterAutospacing="0" w:line="579" w:lineRule="exact"/>
        <w:ind w:right="0" w:rightChars="0"/>
        <w:jc w:val="both"/>
        <w:textAlignment w:val="center"/>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28"/>
          <w:szCs w:val="28"/>
          <w:u w:val="none"/>
          <w:lang w:val="en-US" w:eastAsia="zh-CN"/>
        </w:rPr>
        <w:t xml:space="preserve"> </w:t>
      </w:r>
      <w:r>
        <w:rPr>
          <w:rFonts w:hint="eastAsia" w:ascii="仿宋_GB2312" w:hAnsi="仿宋_GB2312" w:eastAsia="仿宋_GB2312" w:cs="仿宋_GB2312"/>
          <w:b w:val="0"/>
          <w:bCs w:val="0"/>
          <w:color w:val="000000"/>
          <w:sz w:val="28"/>
          <w:szCs w:val="28"/>
          <w:u w:val="none"/>
          <w:lang w:val="en-US" w:eastAsia="zh-CN"/>
        </w:rPr>
        <w:t>湖北省公共资源交易监督管理局               2023年3月7日印发</w:t>
      </w:r>
    </w:p>
    <w:sectPr>
      <w:footerReference r:id="rId3" w:type="default"/>
      <w:pgSz w:w="11906" w:h="16838"/>
      <w:pgMar w:top="2098" w:right="1474" w:bottom="1984" w:left="1587" w:header="851" w:footer="1531"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仿宋_GBK">
    <w:altName w:val="微软雅黑"/>
    <w:panose1 w:val="02000000000000000000"/>
    <w:charset w:val="86"/>
    <w:family w:val="auto"/>
    <w:pitch w:val="default"/>
    <w:sig w:usb0="00000001" w:usb1="08000000" w:usb2="00000000" w:usb3="00000000" w:csb0="00040000" w:csb1="00000000"/>
  </w:font>
  <w:font w:name="CESI黑体-GB2312">
    <w:altName w:val="黑体"/>
    <w:panose1 w:val="02000500000000000000"/>
    <w:charset w:val="86"/>
    <w:family w:val="auto"/>
    <w:pitch w:val="default"/>
    <w:sig w:usb0="800002BF" w:usb1="184F6CF8" w:usb2="00000012" w:usb3="00000000" w:csb0="0004000F" w:csb1="00000000"/>
  </w:font>
  <w:font w:name="CESI楷体-GB2312">
    <w:altName w:val="楷体_GB2312"/>
    <w:panose1 w:val="02000500000000000000"/>
    <w:charset w:val="86"/>
    <w:family w:val="auto"/>
    <w:pitch w:val="default"/>
    <w:sig w:usb0="800002BF" w:usb1="184F6CF8" w:usb2="00000012" w:usb3="00000000" w:csb0="0004000F"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JhVdBHdAQAAvgMAAA4AAAAAAAAA&#10;AQAgAAAAHgEAAGRycy9lMm9Eb2MueG1sUEsFBgAAAAAGAAYAWQEAAG0FA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2MDJkYjQyNzVjYmQ0NWNjNGI5MzI5ZTk2NzA3NGQifQ=="/>
  </w:docVars>
  <w:rsids>
    <w:rsidRoot w:val="3EF79199"/>
    <w:rsid w:val="027C26CB"/>
    <w:rsid w:val="10E6612A"/>
    <w:rsid w:val="124675EC"/>
    <w:rsid w:val="13410069"/>
    <w:rsid w:val="13511FA4"/>
    <w:rsid w:val="1B261D69"/>
    <w:rsid w:val="22374B0A"/>
    <w:rsid w:val="232B1946"/>
    <w:rsid w:val="263A673F"/>
    <w:rsid w:val="2FFF5F25"/>
    <w:rsid w:val="305240D2"/>
    <w:rsid w:val="36266C69"/>
    <w:rsid w:val="3B6ECD19"/>
    <w:rsid w:val="3E5BE327"/>
    <w:rsid w:val="3EF79199"/>
    <w:rsid w:val="44C036AF"/>
    <w:rsid w:val="47CD63C5"/>
    <w:rsid w:val="4BA73A3D"/>
    <w:rsid w:val="5F924D1B"/>
    <w:rsid w:val="63070387"/>
    <w:rsid w:val="6C257DC9"/>
    <w:rsid w:val="6E7F7D7F"/>
    <w:rsid w:val="6FE55B96"/>
    <w:rsid w:val="6FFE28B5"/>
    <w:rsid w:val="78986704"/>
    <w:rsid w:val="7A74131E"/>
    <w:rsid w:val="7CD45EAA"/>
    <w:rsid w:val="7E15102F"/>
    <w:rsid w:val="7FCB569B"/>
    <w:rsid w:val="A7CB733E"/>
    <w:rsid w:val="BFCFD4A8"/>
    <w:rsid w:val="DCED9145"/>
    <w:rsid w:val="EF8B6997"/>
    <w:rsid w:val="EFDE4D35"/>
    <w:rsid w:val="FA2AFF98"/>
    <w:rsid w:val="FB4E71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3"/>
    <w:next w:val="3"/>
    <w:unhideWhenUsed/>
    <w:qFormat/>
    <w:uiPriority w:val="0"/>
    <w:pPr>
      <w:spacing w:before="100" w:beforeAutospacing="1" w:after="100" w:afterAutospacing="1"/>
      <w:jc w:val="left"/>
      <w:outlineLvl w:val="2"/>
    </w:pPr>
    <w:rPr>
      <w:rFonts w:hint="eastAsia" w:ascii="宋体" w:hAnsi="宋体"/>
      <w:b/>
      <w:kern w:val="0"/>
      <w:sz w:val="27"/>
      <w:szCs w:val="27"/>
    </w:rPr>
  </w:style>
  <w:style w:type="character" w:default="1" w:styleId="11">
    <w:name w:val="Default Paragraph Font"/>
    <w:semiHidden/>
    <w:qFormat/>
    <w:uiPriority w:val="0"/>
  </w:style>
  <w:style w:type="table" w:default="1" w:styleId="10">
    <w:name w:val="Normal Table"/>
    <w:semiHidden/>
    <w:qFormat/>
    <w:uiPriority w:val="0"/>
    <w:tblPr>
      <w:tblStyle w:val="10"/>
      <w:tblCellMar>
        <w:top w:w="0" w:type="dxa"/>
        <w:left w:w="108" w:type="dxa"/>
        <w:bottom w:w="0" w:type="dxa"/>
        <w:right w:w="108" w:type="dxa"/>
      </w:tblCellMar>
    </w:tblPr>
  </w:style>
  <w:style w:type="paragraph" w:styleId="3">
    <w:name w:val="table of authorities"/>
    <w:basedOn w:val="1"/>
    <w:next w:val="1"/>
    <w:unhideWhenUsed/>
    <w:qFormat/>
    <w:uiPriority w:val="99"/>
    <w:pPr>
      <w:ind w:left="200" w:leftChars="200"/>
    </w:pPr>
  </w:style>
  <w:style w:type="paragraph" w:styleId="4">
    <w:name w:val="Body Text"/>
    <w:basedOn w:val="1"/>
    <w:qFormat/>
    <w:uiPriority w:val="1"/>
    <w:rPr>
      <w:rFonts w:ascii="宋体" w:hAnsi="宋体" w:eastAsia="宋体" w:cs="宋体"/>
      <w:sz w:val="32"/>
      <w:szCs w:val="32"/>
      <w:lang w:val="zh-CN" w:eastAsia="zh-CN" w:bidi="zh-CN"/>
    </w:rPr>
  </w:style>
  <w:style w:type="paragraph" w:styleId="5">
    <w:name w:val="Body Text Indent"/>
    <w:basedOn w:val="1"/>
    <w:next w:val="6"/>
    <w:unhideWhenUsed/>
    <w:qFormat/>
    <w:uiPriority w:val="99"/>
    <w:pPr>
      <w:spacing w:after="120"/>
      <w:ind w:left="420" w:leftChars="200"/>
    </w:pPr>
  </w:style>
  <w:style w:type="paragraph" w:styleId="6">
    <w:name w:val="Body Text First Indent 2"/>
    <w:basedOn w:val="5"/>
    <w:next w:val="1"/>
    <w:unhideWhenUsed/>
    <w:qFormat/>
    <w:uiPriority w:val="99"/>
    <w:pPr>
      <w:ind w:firstLine="420" w:firstLineChars="200"/>
    </w:pPr>
    <w:rPr>
      <w:rFonts w:ascii="Calibri" w:hAnsi="Calibri" w:eastAsia="宋体" w:cs="Times New Roman"/>
      <w:szCs w:val="24"/>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1340</Words>
  <Characters>1352</Characters>
  <Lines>0</Lines>
  <Paragraphs>0</Paragraphs>
  <TotalTime>0</TotalTime>
  <ScaleCrop>false</ScaleCrop>
  <LinksUpToDate>false</LinksUpToDate>
  <CharactersWithSpaces>1368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2023-03-03T00:40:00Z</dcterms:created>
  <dc:creator>jdj10085</dc:creator>
  <cp:lastModifiedBy>Administrator</cp:lastModifiedBy>
  <cp:lastPrinted>2023-03-03T02:23:29Z</cp:lastPrinted>
  <dcterms:modified xsi:type="dcterms:W3CDTF">2023-03-09T08:28:31Z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89E86FCB71CB43CBA31E5CCBBA852C2D</vt:lpwstr>
  </property>
</Properties>
</file>