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简体" w:hAnsi="方正小标宋简体" w:eastAsia="方正小标宋简体" w:cs="方正小标宋简体"/>
          <w:sz w:val="40"/>
          <w:szCs w:val="40"/>
          <w:lang w:eastAsia="zh-CN"/>
        </w:rPr>
      </w:pPr>
    </w:p>
    <w:p>
      <w:pPr>
        <w:pStyle w:val="2"/>
        <w:rPr>
          <w:rFonts w:hint="eastAsia" w:ascii="方正小标宋简体" w:hAnsi="方正小标宋简体" w:eastAsia="方正小标宋简体" w:cs="方正小标宋简体"/>
          <w:sz w:val="40"/>
          <w:szCs w:val="40"/>
          <w:lang w:eastAsia="zh-CN"/>
        </w:rPr>
      </w:pPr>
    </w:p>
    <w:p>
      <w:pPr>
        <w:rPr>
          <w:rFonts w:hint="eastAsia" w:ascii="方正小标宋简体" w:hAnsi="方正小标宋简体" w:eastAsia="方正小标宋简体" w:cs="方正小标宋简体"/>
          <w:sz w:val="40"/>
          <w:szCs w:val="40"/>
          <w:lang w:eastAsia="zh-CN"/>
        </w:rPr>
      </w:pPr>
    </w:p>
    <w:p>
      <w:pPr>
        <w:pStyle w:val="2"/>
        <w:rPr>
          <w:rFonts w:hint="eastAsia" w:ascii="方正小标宋简体" w:hAnsi="方正小标宋简体" w:eastAsia="方正小标宋简体" w:cs="方正小标宋简体"/>
          <w:sz w:val="40"/>
          <w:szCs w:val="40"/>
          <w:lang w:eastAsia="zh-CN"/>
        </w:rPr>
      </w:pPr>
    </w:p>
    <w:p>
      <w:pPr>
        <w:rPr>
          <w:rFonts w:hint="eastAsia" w:ascii="方正小标宋简体" w:hAnsi="方正小标宋简体" w:eastAsia="方正小标宋简体" w:cs="方正小标宋简体"/>
          <w:sz w:val="40"/>
          <w:szCs w:val="40"/>
          <w:lang w:eastAsia="zh-CN"/>
        </w:rPr>
      </w:pPr>
    </w:p>
    <w:p>
      <w:pPr>
        <w:pStyle w:val="2"/>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黑体" w:eastAsia="方正小标宋简体"/>
          <w:color w:val="000000"/>
          <w:w w:val="100"/>
          <w:sz w:val="44"/>
          <w:szCs w:val="44"/>
          <w:highlight w:val="none"/>
          <w:lang w:eastAsia="zh-CN"/>
        </w:rPr>
      </w:pPr>
    </w:p>
    <w:p>
      <w:pPr>
        <w:keepNext w:val="0"/>
        <w:keepLines w:val="0"/>
        <w:pageBreakBefore w:val="0"/>
        <w:widowControl w:val="0"/>
        <w:kinsoku/>
        <w:wordWrap/>
        <w:overflowPunct/>
        <w:topLinePunct w:val="0"/>
        <w:autoSpaceDE/>
        <w:autoSpaceDN/>
        <w:bidi w:val="0"/>
        <w:adjustRightInd/>
        <w:snapToGrid/>
        <w:spacing w:after="161" w:afterLines="50" w:line="560" w:lineRule="exact"/>
        <w:jc w:val="center"/>
        <w:textAlignment w:val="auto"/>
        <w:rPr>
          <w:rFonts w:hint="default" w:ascii="Times New Roman" w:hAnsi="Times New Roman" w:eastAsia="仿宋_GB2312" w:cs="Times New Roman"/>
          <w:color w:val="000000"/>
          <w:w w:val="100"/>
          <w:sz w:val="32"/>
          <w:szCs w:val="32"/>
          <w:highlight w:val="none"/>
          <w:lang w:val="en-US" w:eastAsia="zh-CN"/>
        </w:rPr>
      </w:pPr>
      <w:r>
        <w:rPr>
          <w:rFonts w:hint="default" w:ascii="Times New Roman" w:hAnsi="Times New Roman" w:eastAsia="仿宋_GB2312" w:cs="Times New Roman"/>
          <w:color w:val="000000"/>
          <w:w w:val="100"/>
          <w:sz w:val="32"/>
          <w:szCs w:val="32"/>
          <w:highlight w:val="none"/>
          <w:lang w:val="en-US" w:eastAsia="zh-CN"/>
        </w:rPr>
        <w:t>夷公管委发〔2022〕</w:t>
      </w:r>
      <w:r>
        <w:rPr>
          <w:rFonts w:hint="eastAsia" w:eastAsia="仿宋_GB2312" w:cs="Times New Roman"/>
          <w:color w:val="000000"/>
          <w:w w:val="100"/>
          <w:sz w:val="32"/>
          <w:szCs w:val="32"/>
          <w:highlight w:val="none"/>
          <w:lang w:val="en-US" w:eastAsia="zh-CN"/>
        </w:rPr>
        <w:t>3</w:t>
      </w:r>
      <w:r>
        <w:rPr>
          <w:rFonts w:hint="default" w:ascii="Times New Roman" w:hAnsi="Times New Roman" w:eastAsia="仿宋_GB2312" w:cs="Times New Roman"/>
          <w:color w:val="000000"/>
          <w:w w:val="100"/>
          <w:sz w:val="32"/>
          <w:szCs w:val="32"/>
          <w:highlight w:val="none"/>
          <w:lang w:val="en-US" w:eastAsia="zh-CN"/>
        </w:rPr>
        <w:t>号</w:t>
      </w:r>
    </w:p>
    <w:p>
      <w:pPr>
        <w:keepNext w:val="0"/>
        <w:keepLines w:val="0"/>
        <w:pageBreakBefore w:val="0"/>
        <w:widowControl w:val="0"/>
        <w:kinsoku/>
        <w:wordWrap/>
        <w:overflowPunct/>
        <w:topLinePunct w:val="0"/>
        <w:autoSpaceDE/>
        <w:autoSpaceDN/>
        <w:bidi w:val="0"/>
        <w:adjustRightInd/>
        <w:snapToGrid/>
        <w:spacing w:before="639" w:beforeLines="200" w:line="560" w:lineRule="exact"/>
        <w:jc w:val="center"/>
        <w:textAlignment w:val="auto"/>
        <w:rPr>
          <w:rFonts w:hint="eastAsia" w:ascii="方正小标宋简体" w:hAnsi="黑体" w:eastAsia="方正小标宋简体"/>
          <w:color w:val="000000"/>
          <w:w w:val="100"/>
          <w:sz w:val="44"/>
          <w:szCs w:val="44"/>
          <w:highlight w:val="none"/>
          <w:lang w:eastAsia="zh-CN"/>
        </w:rPr>
      </w:pPr>
      <w:r>
        <w:rPr>
          <w:rFonts w:hint="eastAsia" w:ascii="方正小标宋简体" w:hAnsi="黑体" w:eastAsia="方正小标宋简体"/>
          <w:color w:val="000000"/>
          <w:w w:val="100"/>
          <w:sz w:val="44"/>
          <w:szCs w:val="44"/>
          <w:highlight w:val="none"/>
          <w:lang w:eastAsia="zh-CN"/>
        </w:rPr>
        <w:t>夷陵区公共资源交易管理委员会</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44"/>
          <w:lang w:eastAsia="zh-CN"/>
        </w:rPr>
      </w:pPr>
      <w:r>
        <w:rPr>
          <w:rFonts w:hint="eastAsia" w:ascii="方正小标宋简体" w:hAnsi="黑体" w:eastAsia="方正小标宋简体"/>
          <w:color w:val="000000"/>
          <w:w w:val="100"/>
          <w:sz w:val="44"/>
          <w:szCs w:val="44"/>
          <w:highlight w:val="none"/>
          <w:lang w:eastAsia="zh-CN"/>
        </w:rPr>
        <w:t>关于“评定分离”改革有关事项的通知</w:t>
      </w:r>
    </w:p>
    <w:p>
      <w:pPr>
        <w:keepNext w:val="0"/>
        <w:keepLines w:val="0"/>
        <w:widowControl/>
        <w:suppressLineNumbers w:val="0"/>
        <w:jc w:val="left"/>
        <w:rPr>
          <w:rFonts w:hint="eastAsia" w:ascii="仿宋_GB2312" w:hAnsi="宋体" w:eastAsia="仿宋_GB2312" w:cs="仿宋_GB2312"/>
          <w:color w:val="000000"/>
          <w:kern w:val="0"/>
          <w:sz w:val="32"/>
          <w:szCs w:val="32"/>
          <w:lang w:val="en-US" w:eastAsia="zh-CN" w:bidi="ar"/>
        </w:rPr>
      </w:pPr>
    </w:p>
    <w:p>
      <w:pPr>
        <w:keepNext w:val="0"/>
        <w:keepLines w:val="0"/>
        <w:pageBreakBefore w:val="0"/>
        <w:kinsoku/>
        <w:wordWrap/>
        <w:overflowPunct/>
        <w:topLinePunct w:val="0"/>
        <w:autoSpaceDE/>
        <w:autoSpaceDN/>
        <w:bidi w:val="0"/>
        <w:adjustRightInd/>
        <w:snapToGrid/>
        <w:spacing w:line="580" w:lineRule="exact"/>
        <w:jc w:val="left"/>
        <w:textAlignment w:val="auto"/>
        <w:rPr>
          <w:rFonts w:hint="default"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lang w:val="en-US" w:eastAsia="zh-CN"/>
        </w:rPr>
        <w:t xml:space="preserve">各乡镇人民政府，小溪塔街道办事处，区政府有关部门、直属机构： </w:t>
      </w:r>
    </w:p>
    <w:p>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eastAsia="仿宋_GB2312" w:cs="Times New Roman"/>
          <w:sz w:val="32"/>
          <w:szCs w:val="32"/>
          <w:lang w:val="en-US" w:eastAsia="zh-CN"/>
        </w:rPr>
      </w:pPr>
      <w:r>
        <w:rPr>
          <w:rFonts w:hint="eastAsia" w:eastAsia="仿宋_GB2312" w:cs="Times New Roman"/>
          <w:sz w:val="32"/>
          <w:szCs w:val="32"/>
          <w:lang w:val="en-US" w:eastAsia="zh-CN"/>
        </w:rPr>
        <w:t xml:space="preserve">   根据《湖北省人民政府办公厅关于印发持续深化一流营商环境建设若干措施的通知》（鄂政办发〔2022〕2号）等上级文件精神，为持续推进“评定分离”改革，结合我区实际，现就有关事项通知如下：</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eastAsia="仿宋_GB2312" w:cs="Times New Roman"/>
          <w:sz w:val="32"/>
          <w:szCs w:val="32"/>
          <w:lang w:val="en-US" w:eastAsia="zh-CN"/>
        </w:rPr>
      </w:pPr>
      <w:r>
        <w:rPr>
          <w:rFonts w:hint="eastAsia" w:ascii="楷体" w:hAnsi="楷体" w:eastAsia="楷体" w:cs="楷体"/>
          <w:b w:val="0"/>
          <w:i w:val="0"/>
          <w:caps w:val="0"/>
          <w:spacing w:val="0"/>
          <w:w w:val="100"/>
          <w:kern w:val="0"/>
          <w:sz w:val="32"/>
          <w:szCs w:val="32"/>
          <w:lang w:val="en-US" w:eastAsia="zh-CN"/>
        </w:rPr>
        <w:t>一、适度扩大“评定分离”实施范围。</w:t>
      </w:r>
      <w:r>
        <w:rPr>
          <w:rFonts w:hint="eastAsia" w:eastAsia="仿宋_GB2312" w:cs="Times New Roman"/>
          <w:sz w:val="32"/>
          <w:szCs w:val="32"/>
          <w:lang w:val="en-US" w:eastAsia="zh-CN"/>
        </w:rPr>
        <w:t>依法必须招标的勘察、设计、监理等服务类项目可选择采用“评定分离”方式进行招投标。</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eastAsia="仿宋_GB2312" w:cs="Times New Roman"/>
          <w:sz w:val="32"/>
          <w:szCs w:val="32"/>
          <w:lang w:val="en-US" w:eastAsia="zh-CN"/>
        </w:rPr>
      </w:pPr>
      <w:r>
        <w:rPr>
          <w:rFonts w:hint="eastAsia" w:ascii="楷体" w:hAnsi="楷体" w:eastAsia="楷体" w:cs="楷体"/>
          <w:b w:val="0"/>
          <w:i w:val="0"/>
          <w:caps w:val="0"/>
          <w:spacing w:val="0"/>
          <w:w w:val="100"/>
          <w:kern w:val="0"/>
          <w:sz w:val="32"/>
          <w:szCs w:val="32"/>
          <w:lang w:val="en-US" w:eastAsia="zh-CN"/>
        </w:rPr>
        <w:t>二、对1000万以下项目的定标方式进行优化调整。</w:t>
      </w:r>
      <w:r>
        <w:rPr>
          <w:rFonts w:hint="eastAsia" w:eastAsia="仿宋_GB2312" w:cs="Times New Roman"/>
          <w:sz w:val="32"/>
          <w:szCs w:val="32"/>
          <w:lang w:val="en-US" w:eastAsia="zh-CN"/>
        </w:rPr>
        <w:t>单项合同1000万以下的项目可在价格定标法、抽签定标法、票决定标法、集体议事定标法定标方式中，自行选择定标方法进行定标，定标规则和定标方法需在招标文件中注明。</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left"/>
        <w:textAlignment w:val="auto"/>
        <w:rPr>
          <w:rFonts w:hint="eastAsia" w:eastAsia="仿宋_GB2312" w:cs="Times New Roman"/>
          <w:sz w:val="32"/>
          <w:szCs w:val="32"/>
          <w:lang w:val="en-US" w:eastAsia="zh-CN"/>
        </w:rPr>
      </w:pPr>
      <w:r>
        <w:rPr>
          <w:rFonts w:hint="eastAsia" w:eastAsia="仿宋_GB2312" w:cs="Times New Roman"/>
          <w:sz w:val="32"/>
          <w:szCs w:val="32"/>
          <w:lang w:val="en-US" w:eastAsia="zh-CN"/>
        </w:rPr>
        <w:t>本通知自2023年1月1日起施行；《关于进一步规范工程建设项目招投标“评定分离”制度改革工作的通知》（夷公共资源局发〔2021〕2号）中相关规定与本通知不一致的，以本通知为准。</w:t>
      </w:r>
    </w:p>
    <w:p>
      <w:pPr>
        <w:pStyle w:val="2"/>
        <w:rPr>
          <w:rFonts w:hint="eastAsia"/>
          <w:lang w:val="en-US" w:eastAsia="zh-CN"/>
        </w:rPr>
      </w:pPr>
    </w:p>
    <w:p>
      <w:pPr>
        <w:keepNext w:val="0"/>
        <w:keepLines w:val="0"/>
        <w:pageBreakBefore w:val="0"/>
        <w:kinsoku/>
        <w:wordWrap/>
        <w:overflowPunct/>
        <w:topLinePunct w:val="0"/>
        <w:autoSpaceDE/>
        <w:autoSpaceDN/>
        <w:bidi w:val="0"/>
        <w:adjustRightInd/>
        <w:snapToGrid/>
        <w:spacing w:line="580" w:lineRule="exact"/>
        <w:jc w:val="center"/>
        <w:textAlignment w:val="auto"/>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val="en-US" w:eastAsia="zh-CN"/>
        </w:rPr>
        <w:t xml:space="preserve">                 宜昌市</w:t>
      </w:r>
      <w:r>
        <w:rPr>
          <w:rFonts w:hint="default" w:ascii="Times New Roman" w:hAnsi="Times New Roman" w:eastAsia="仿宋_GB2312" w:cs="Times New Roman"/>
          <w:sz w:val="32"/>
          <w:szCs w:val="32"/>
          <w:lang w:eastAsia="zh-CN"/>
        </w:rPr>
        <w:t>夷陵区公共资源交易管理委员会</w:t>
      </w:r>
    </w:p>
    <w:p>
      <w:pPr>
        <w:keepNext w:val="0"/>
        <w:keepLines w:val="0"/>
        <w:pageBreakBefore w:val="0"/>
        <w:kinsoku/>
        <w:wordWrap/>
        <w:overflowPunct/>
        <w:topLinePunct w:val="0"/>
        <w:autoSpaceDE/>
        <w:autoSpaceDN/>
        <w:bidi w:val="0"/>
        <w:adjustRightInd/>
        <w:snapToGrid/>
        <w:spacing w:line="580" w:lineRule="exact"/>
        <w:jc w:val="center"/>
        <w:textAlignment w:val="auto"/>
        <w:rPr>
          <w:rFonts w:hint="default" w:ascii="Times New Roman" w:hAnsi="Times New Roman" w:eastAsia="仿宋_GB2312" w:cs="Times New Roman"/>
          <w:sz w:val="32"/>
          <w:szCs w:val="32"/>
          <w:lang w:val="en-US" w:eastAsia="zh-CN"/>
        </w:rPr>
      </w:pPr>
      <w:r>
        <w:rPr>
          <w:rFonts w:hint="default" w:ascii="Times New Roman" w:hAnsi="Times New Roman" w:eastAsia="仿宋_GB2312" w:cs="Times New Roman"/>
          <w:sz w:val="32"/>
          <w:szCs w:val="32"/>
          <w:lang w:val="en-US" w:eastAsia="zh-CN"/>
        </w:rPr>
        <w:t xml:space="preserve">                   2022年1</w:t>
      </w:r>
      <w:r>
        <w:rPr>
          <w:rFonts w:hint="eastAsia"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月</w:t>
      </w:r>
      <w:r>
        <w:rPr>
          <w:rFonts w:hint="eastAsia" w:eastAsia="仿宋_GB2312" w:cs="Times New Roman"/>
          <w:sz w:val="32"/>
          <w:szCs w:val="32"/>
          <w:lang w:val="en-US" w:eastAsia="zh-CN"/>
        </w:rPr>
        <w:t>29</w:t>
      </w:r>
      <w:r>
        <w:rPr>
          <w:rFonts w:hint="default" w:ascii="Times New Roman" w:hAnsi="Times New Roman" w:eastAsia="仿宋_GB2312" w:cs="Times New Roman"/>
          <w:sz w:val="32"/>
          <w:szCs w:val="32"/>
          <w:lang w:val="en-US" w:eastAsia="zh-CN"/>
        </w:rPr>
        <w:t>日</w:t>
      </w:r>
      <w:bookmarkStart w:id="0" w:name="_GoBack"/>
      <w:bookmarkEnd w:id="0"/>
    </w:p>
    <w:p>
      <w:pPr>
        <w:pStyle w:val="2"/>
        <w:rPr>
          <w:rFonts w:hint="default" w:ascii="Times New Roman" w:hAnsi="Times New Roman" w:eastAsia="仿宋_GB2312" w:cs="Times New Roman"/>
          <w:sz w:val="32"/>
          <w:szCs w:val="32"/>
          <w:lang w:val="en-US" w:eastAsia="zh-CN"/>
        </w:rPr>
      </w:pPr>
    </w:p>
    <w:p>
      <w:pPr>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rPr>
          <w:rFonts w:hint="default" w:ascii="Times New Roman" w:hAnsi="Times New Roman" w:eastAsia="仿宋_GB2312" w:cs="Times New Roman"/>
          <w:sz w:val="32"/>
          <w:szCs w:val="32"/>
          <w:lang w:val="en-US" w:eastAsia="zh-CN"/>
        </w:rPr>
      </w:pPr>
    </w:p>
    <w:p>
      <w:pPr>
        <w:rPr>
          <w:rFonts w:hint="default" w:ascii="Times New Roman" w:hAnsi="Times New Roman" w:eastAsia="仿宋_GB2312" w:cs="Times New Roman"/>
          <w:sz w:val="32"/>
          <w:szCs w:val="32"/>
          <w:lang w:val="en-US" w:eastAsia="zh-CN"/>
        </w:rPr>
      </w:pPr>
    </w:p>
    <w:p>
      <w:pPr>
        <w:pStyle w:val="2"/>
        <w:rPr>
          <w:rFonts w:hint="default" w:ascii="Times New Roman" w:hAnsi="Times New Roman" w:eastAsia="仿宋_GB2312" w:cs="Times New Roman"/>
          <w:sz w:val="32"/>
          <w:szCs w:val="32"/>
          <w:lang w:val="en-US" w:eastAsia="zh-CN"/>
        </w:rPr>
      </w:pPr>
    </w:p>
    <w:p>
      <w:pPr>
        <w:rPr>
          <w:rFonts w:hint="default" w:ascii="Times New Roman" w:hAnsi="Times New Roman" w:eastAsia="仿宋_GB2312" w:cs="Times New Roman"/>
          <w:sz w:val="32"/>
          <w:szCs w:val="32"/>
          <w:lang w:val="en-US" w:eastAsia="zh-CN"/>
        </w:rPr>
      </w:pPr>
    </w:p>
    <w:tbl>
      <w:tblPr>
        <w:tblStyle w:val="11"/>
        <w:tblpPr w:leftFromText="180" w:rightFromText="180" w:vertAnchor="text" w:horzAnchor="page" w:tblpX="1910" w:tblpY="750"/>
        <w:tblOverlap w:val="never"/>
        <w:tblW w:w="0" w:type="auto"/>
        <w:tblInd w:w="0"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c>
          <w:tcPr>
            <w:tcW w:w="8522" w:type="dxa"/>
          </w:tcPr>
          <w:p>
            <w:pPr>
              <w:rPr>
                <w:rFonts w:hint="default"/>
                <w:vertAlign w:val="baseline"/>
                <w:lang w:val="en-US"/>
              </w:rPr>
            </w:pPr>
            <w:r>
              <w:rPr>
                <w:rFonts w:hint="default" w:ascii="Times New Roman" w:hAnsi="Times New Roman" w:eastAsia="仿宋_GB2312" w:cs="Times New Roman"/>
                <w:b w:val="0"/>
                <w:bCs/>
                <w:w w:val="84"/>
                <w:kern w:val="2"/>
                <w:sz w:val="32"/>
                <w:szCs w:val="32"/>
                <w:lang w:val="en-US" w:eastAsia="zh-CN" w:bidi="ar-SA"/>
              </w:rPr>
              <w:t>宜昌市夷陵区公共资源交易管理委员会印发</w:t>
            </w:r>
            <w:r>
              <w:rPr>
                <w:rFonts w:hint="eastAsia" w:eastAsia="仿宋_GB2312" w:cs="Times New Roman"/>
                <w:b w:val="0"/>
                <w:bCs/>
                <w:w w:val="84"/>
                <w:kern w:val="2"/>
                <w:sz w:val="32"/>
                <w:szCs w:val="32"/>
                <w:lang w:val="en-US" w:eastAsia="zh-CN" w:bidi="ar-SA"/>
              </w:rPr>
              <w:t xml:space="preserve">        </w:t>
            </w:r>
            <w:r>
              <w:rPr>
                <w:rFonts w:hint="default" w:ascii="Times New Roman" w:hAnsi="Times New Roman" w:eastAsia="仿宋_GB2312" w:cs="Times New Roman"/>
                <w:b w:val="0"/>
                <w:bCs/>
                <w:w w:val="84"/>
                <w:kern w:val="2"/>
                <w:sz w:val="32"/>
                <w:szCs w:val="32"/>
                <w:lang w:val="en-US" w:eastAsia="zh-CN" w:bidi="ar-SA"/>
              </w:rPr>
              <w:t>2022年1</w:t>
            </w:r>
            <w:r>
              <w:rPr>
                <w:rFonts w:hint="eastAsia" w:eastAsia="仿宋_GB2312" w:cs="Times New Roman"/>
                <w:b w:val="0"/>
                <w:bCs/>
                <w:w w:val="84"/>
                <w:kern w:val="2"/>
                <w:sz w:val="32"/>
                <w:szCs w:val="32"/>
                <w:lang w:val="en-US" w:eastAsia="zh-CN" w:bidi="ar-SA"/>
              </w:rPr>
              <w:t>2</w:t>
            </w:r>
            <w:r>
              <w:rPr>
                <w:rFonts w:hint="default" w:ascii="Times New Roman" w:hAnsi="Times New Roman" w:eastAsia="仿宋_GB2312" w:cs="Times New Roman"/>
                <w:b w:val="0"/>
                <w:bCs/>
                <w:w w:val="84"/>
                <w:kern w:val="2"/>
                <w:sz w:val="32"/>
                <w:szCs w:val="32"/>
                <w:lang w:val="en-US" w:eastAsia="zh-CN" w:bidi="ar-SA"/>
              </w:rPr>
              <w:t>月</w:t>
            </w:r>
            <w:r>
              <w:rPr>
                <w:rFonts w:hint="eastAsia" w:eastAsia="仿宋_GB2312" w:cs="Times New Roman"/>
                <w:b w:val="0"/>
                <w:bCs/>
                <w:w w:val="84"/>
                <w:kern w:val="2"/>
                <w:sz w:val="32"/>
                <w:szCs w:val="32"/>
                <w:lang w:val="en-US" w:eastAsia="zh-CN" w:bidi="ar-SA"/>
              </w:rPr>
              <w:t>29</w:t>
            </w:r>
            <w:r>
              <w:rPr>
                <w:rFonts w:hint="default" w:ascii="Times New Roman" w:hAnsi="Times New Roman" w:eastAsia="仿宋_GB2312" w:cs="Times New Roman"/>
                <w:b w:val="0"/>
                <w:bCs/>
                <w:w w:val="84"/>
                <w:kern w:val="2"/>
                <w:sz w:val="32"/>
                <w:szCs w:val="32"/>
                <w:lang w:val="en-US" w:eastAsia="zh-CN" w:bidi="ar-SA"/>
              </w:rPr>
              <w:t>日</w:t>
            </w:r>
          </w:p>
        </w:tc>
      </w:tr>
    </w:tbl>
    <w:p>
      <w:pPr>
        <w:pStyle w:val="2"/>
        <w:ind w:left="0" w:leftChars="0" w:firstLine="0" w:firstLineChars="0"/>
        <w:rPr>
          <w:rFonts w:hint="default"/>
          <w:lang w:val="en-US" w:eastAsia="zh-CN"/>
        </w:rPr>
        <w:sectPr>
          <w:pgSz w:w="11906" w:h="16838"/>
          <w:pgMar w:top="2098" w:right="1474" w:bottom="1984" w:left="1587" w:header="851" w:footer="992" w:gutter="0"/>
          <w:pgNumType w:fmt="numberInDash"/>
          <w:cols w:space="720" w:num="1"/>
          <w:rtlGutter w:val="0"/>
          <w:docGrid w:type="lines" w:linePitch="319" w:charSpace="0"/>
        </w:sectPr>
      </w:pPr>
    </w:p>
    <w:p/>
    <w:sectPr>
      <w:headerReference r:id="rId3" w:type="default"/>
      <w:footerReference r:id="rId4" w:type="default"/>
      <w:pgSz w:w="11906" w:h="16838"/>
      <w:pgMar w:top="1440" w:right="1800" w:bottom="1440" w:left="1800"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5220" w:firstLineChars="2900"/>
      <w:rPr>
        <w:rFonts w:ascii="Times New Roman" w:hAnsi="Times New Roman"/>
        <w:sz w:val="28"/>
        <w:szCs w:val="28"/>
      </w:rPr>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7"/>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2EPscs0BAACnAwAADgAAAGRycy9lMm9Eb2MueG1srVNLbtswEN0XyB0I&#10;7mPJWhSGYDlIYaQoEKQF0h6ApkiLAH/g0JZ8gfYGXXXTfc/lc3RISU6abrLIhpof38x7HK1vBqPJ&#10;UQRQzjZ0uSgpEZa7Vtl9Q799vbteUQKR2ZZpZ0VDTwLozebq3br3tahc53QrAkEQC3XvG9rF6Oui&#10;AN4Jw2DhvLCYlC4YFtEN+6INrEd0o4uqLN8XvQutD44LAIxuxySdEMNrAJ2Uiout4wcjbBxRg9As&#10;IiXolAe6ydNKKXj8LCWISHRDkWnMJzZBe5fOYrNm9T4w3yk+jcBeM8ILToYpi00vUFsWGTkE9R+U&#10;UTw4cDIuuDPFSCQrgiyW5QttHjvmReaCUoO/iA5vB8sfjl8CUW1DK0osM/jg558/zr/+nH9/J1WS&#10;p/dQY9Wjx7o4fHADLs0cBwwm1oMMJn2RD8E8inu6iCuGSHi6tKpWqxJTHHOzg/jF03UfIH4UzpBk&#10;NDTg62VR2fEe4lg6l6Ru1t0prfMLavtPADHHiMgrMN1OTMaJkxWH3TDR27n2hOx6XIOGWtx6SvQn&#10;iyqnjZmNMBu72Tj4oPYdDrrMU4K/PUQcKU+aOoywyDA5+H6Z67RraUGe+7nq6f/a/AV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2EPscs0BAACnAwAADgAAAAAAAAABACAAAAAeAQAAZHJzL2Uy&#10;b0RvYy54bWxQSwUGAAAAAAYABgBZAQAAXQUAAAAA&#10;">
              <v:fill on="f" focussize="0,0"/>
              <v:stroke on="f"/>
              <v:imagedata o:title=""/>
              <o:lock v:ext="edit" aspectratio="f"/>
              <v:textbox inset="0mm,0mm,0mm,0mm" style="mso-fit-shape-to-text:t;">
                <w:txbxContent>
                  <w:p>
                    <w:pPr>
                      <w:pStyle w:val="7"/>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E5YjBmMDhiYThjYzA0YTQ4ZDQyNjA4ZWNiYmVmYzEifQ=="/>
  </w:docVars>
  <w:rsids>
    <w:rsidRoot w:val="419B1A6B"/>
    <w:rsid w:val="005A729F"/>
    <w:rsid w:val="006A2B92"/>
    <w:rsid w:val="00D862B2"/>
    <w:rsid w:val="01493810"/>
    <w:rsid w:val="01B337BE"/>
    <w:rsid w:val="01BA23AC"/>
    <w:rsid w:val="02174449"/>
    <w:rsid w:val="02323ACC"/>
    <w:rsid w:val="023A1BE5"/>
    <w:rsid w:val="0348564E"/>
    <w:rsid w:val="035F720F"/>
    <w:rsid w:val="03AE6400"/>
    <w:rsid w:val="03C24916"/>
    <w:rsid w:val="03E75F15"/>
    <w:rsid w:val="058E3FCB"/>
    <w:rsid w:val="05942675"/>
    <w:rsid w:val="06C35854"/>
    <w:rsid w:val="072646CF"/>
    <w:rsid w:val="084F5D7F"/>
    <w:rsid w:val="090C0E38"/>
    <w:rsid w:val="09CF7F96"/>
    <w:rsid w:val="0A1F611E"/>
    <w:rsid w:val="0A8D3A6F"/>
    <w:rsid w:val="0B7B308D"/>
    <w:rsid w:val="0BA038F0"/>
    <w:rsid w:val="0C8E45D1"/>
    <w:rsid w:val="0D1C35E2"/>
    <w:rsid w:val="0D1F4B10"/>
    <w:rsid w:val="0D40487B"/>
    <w:rsid w:val="0F394DC2"/>
    <w:rsid w:val="0F535D6B"/>
    <w:rsid w:val="0F8A0ADC"/>
    <w:rsid w:val="10CB3B9B"/>
    <w:rsid w:val="116F3C39"/>
    <w:rsid w:val="11A43A7D"/>
    <w:rsid w:val="11A954A7"/>
    <w:rsid w:val="11C967E8"/>
    <w:rsid w:val="12001625"/>
    <w:rsid w:val="122D6CE3"/>
    <w:rsid w:val="12555A80"/>
    <w:rsid w:val="128137C3"/>
    <w:rsid w:val="12CF2432"/>
    <w:rsid w:val="12DA2223"/>
    <w:rsid w:val="132E6034"/>
    <w:rsid w:val="13DF284F"/>
    <w:rsid w:val="14036689"/>
    <w:rsid w:val="14BB0DEE"/>
    <w:rsid w:val="15B27A0D"/>
    <w:rsid w:val="15DD62F4"/>
    <w:rsid w:val="15E15425"/>
    <w:rsid w:val="16804948"/>
    <w:rsid w:val="17434B53"/>
    <w:rsid w:val="1A573542"/>
    <w:rsid w:val="1A89609C"/>
    <w:rsid w:val="1BE71C38"/>
    <w:rsid w:val="1C6262EE"/>
    <w:rsid w:val="1D025B5E"/>
    <w:rsid w:val="1D1D0D95"/>
    <w:rsid w:val="1E414F55"/>
    <w:rsid w:val="1F3C7132"/>
    <w:rsid w:val="204029AF"/>
    <w:rsid w:val="20944CDE"/>
    <w:rsid w:val="20951541"/>
    <w:rsid w:val="20C32821"/>
    <w:rsid w:val="21033ACC"/>
    <w:rsid w:val="210B627F"/>
    <w:rsid w:val="227A16B2"/>
    <w:rsid w:val="23030A51"/>
    <w:rsid w:val="235F0D6B"/>
    <w:rsid w:val="238877AD"/>
    <w:rsid w:val="247A7659"/>
    <w:rsid w:val="249507A3"/>
    <w:rsid w:val="24AD5689"/>
    <w:rsid w:val="25184046"/>
    <w:rsid w:val="25204D21"/>
    <w:rsid w:val="27602E7C"/>
    <w:rsid w:val="27D42892"/>
    <w:rsid w:val="28175F93"/>
    <w:rsid w:val="28223C00"/>
    <w:rsid w:val="287858A3"/>
    <w:rsid w:val="287974A0"/>
    <w:rsid w:val="28DD2949"/>
    <w:rsid w:val="2955415D"/>
    <w:rsid w:val="298C0F03"/>
    <w:rsid w:val="2A4309BD"/>
    <w:rsid w:val="2A4E5221"/>
    <w:rsid w:val="2A923DD0"/>
    <w:rsid w:val="2AEF6F5E"/>
    <w:rsid w:val="2B0E68C8"/>
    <w:rsid w:val="2B2E051D"/>
    <w:rsid w:val="2BD1070C"/>
    <w:rsid w:val="2CA22B0B"/>
    <w:rsid w:val="2CC60F92"/>
    <w:rsid w:val="2D1E1A88"/>
    <w:rsid w:val="2EB65297"/>
    <w:rsid w:val="2FEE6765"/>
    <w:rsid w:val="307F32B2"/>
    <w:rsid w:val="30DF50A6"/>
    <w:rsid w:val="312943F2"/>
    <w:rsid w:val="3249217E"/>
    <w:rsid w:val="33710B4C"/>
    <w:rsid w:val="33D00150"/>
    <w:rsid w:val="33D90BB7"/>
    <w:rsid w:val="33DF4712"/>
    <w:rsid w:val="34294197"/>
    <w:rsid w:val="349B228F"/>
    <w:rsid w:val="34E219AB"/>
    <w:rsid w:val="36393494"/>
    <w:rsid w:val="36EB72F2"/>
    <w:rsid w:val="397439C1"/>
    <w:rsid w:val="3AE06CC2"/>
    <w:rsid w:val="3B62521F"/>
    <w:rsid w:val="3BE61C42"/>
    <w:rsid w:val="3C263C8B"/>
    <w:rsid w:val="3C575E70"/>
    <w:rsid w:val="3C8914DE"/>
    <w:rsid w:val="3C9C70AC"/>
    <w:rsid w:val="3CBC1C98"/>
    <w:rsid w:val="3CBE4802"/>
    <w:rsid w:val="3EFA2DAD"/>
    <w:rsid w:val="3F5B6D46"/>
    <w:rsid w:val="3F9B0A64"/>
    <w:rsid w:val="3FDE4A51"/>
    <w:rsid w:val="40374EBB"/>
    <w:rsid w:val="40BD7AA8"/>
    <w:rsid w:val="40C531ED"/>
    <w:rsid w:val="419B1A6B"/>
    <w:rsid w:val="42503A77"/>
    <w:rsid w:val="42FB6AEB"/>
    <w:rsid w:val="43951D0E"/>
    <w:rsid w:val="439E38E2"/>
    <w:rsid w:val="44515D41"/>
    <w:rsid w:val="44561BCD"/>
    <w:rsid w:val="45744B90"/>
    <w:rsid w:val="45A8743D"/>
    <w:rsid w:val="45C30724"/>
    <w:rsid w:val="46005AB3"/>
    <w:rsid w:val="46527B19"/>
    <w:rsid w:val="4717307D"/>
    <w:rsid w:val="474C2C92"/>
    <w:rsid w:val="484E44F9"/>
    <w:rsid w:val="48D568C2"/>
    <w:rsid w:val="48D77E20"/>
    <w:rsid w:val="49072943"/>
    <w:rsid w:val="49374463"/>
    <w:rsid w:val="494C5A44"/>
    <w:rsid w:val="497D70E9"/>
    <w:rsid w:val="4A5C2BD0"/>
    <w:rsid w:val="4AE5277B"/>
    <w:rsid w:val="4B005101"/>
    <w:rsid w:val="4C5E7AA2"/>
    <w:rsid w:val="4C693952"/>
    <w:rsid w:val="4C8E7C3C"/>
    <w:rsid w:val="4CCD7C48"/>
    <w:rsid w:val="4D3A367D"/>
    <w:rsid w:val="4D4B18BA"/>
    <w:rsid w:val="4D4E112F"/>
    <w:rsid w:val="4D631ACC"/>
    <w:rsid w:val="4D66289D"/>
    <w:rsid w:val="4D934F5C"/>
    <w:rsid w:val="4DB476A7"/>
    <w:rsid w:val="4EDE3FBD"/>
    <w:rsid w:val="51AA750D"/>
    <w:rsid w:val="53DE354B"/>
    <w:rsid w:val="547544FC"/>
    <w:rsid w:val="54765F55"/>
    <w:rsid w:val="54BB7AEE"/>
    <w:rsid w:val="54E530C6"/>
    <w:rsid w:val="551A1DDD"/>
    <w:rsid w:val="552A55C4"/>
    <w:rsid w:val="559A3A7B"/>
    <w:rsid w:val="55B87716"/>
    <w:rsid w:val="55E95D1D"/>
    <w:rsid w:val="5600354B"/>
    <w:rsid w:val="57307BC5"/>
    <w:rsid w:val="57663646"/>
    <w:rsid w:val="57911541"/>
    <w:rsid w:val="57E6034D"/>
    <w:rsid w:val="57EE484E"/>
    <w:rsid w:val="57EF05C7"/>
    <w:rsid w:val="5A357AA5"/>
    <w:rsid w:val="5AAA116E"/>
    <w:rsid w:val="5ADA1F3C"/>
    <w:rsid w:val="5B034258"/>
    <w:rsid w:val="5B1F5CDC"/>
    <w:rsid w:val="5CE561D1"/>
    <w:rsid w:val="5CEA3C7A"/>
    <w:rsid w:val="5E110AC0"/>
    <w:rsid w:val="5E613D0B"/>
    <w:rsid w:val="5E7717B0"/>
    <w:rsid w:val="5E8A2C61"/>
    <w:rsid w:val="5EAB03FD"/>
    <w:rsid w:val="5EC629FC"/>
    <w:rsid w:val="5ED37942"/>
    <w:rsid w:val="5EE90D2E"/>
    <w:rsid w:val="5F426E6B"/>
    <w:rsid w:val="60632534"/>
    <w:rsid w:val="60671201"/>
    <w:rsid w:val="607F3904"/>
    <w:rsid w:val="60AF3C36"/>
    <w:rsid w:val="61B25BC4"/>
    <w:rsid w:val="61EE7D07"/>
    <w:rsid w:val="6271461B"/>
    <w:rsid w:val="62874937"/>
    <w:rsid w:val="629D6CB6"/>
    <w:rsid w:val="629E70DB"/>
    <w:rsid w:val="632B1666"/>
    <w:rsid w:val="63A2313A"/>
    <w:rsid w:val="646E004A"/>
    <w:rsid w:val="654910A5"/>
    <w:rsid w:val="66872F6F"/>
    <w:rsid w:val="66B40E9E"/>
    <w:rsid w:val="66E71228"/>
    <w:rsid w:val="67F04885"/>
    <w:rsid w:val="68C96B0C"/>
    <w:rsid w:val="69E957EA"/>
    <w:rsid w:val="69F4137D"/>
    <w:rsid w:val="6A405040"/>
    <w:rsid w:val="6BA947B4"/>
    <w:rsid w:val="6BC5369E"/>
    <w:rsid w:val="6BF83B2B"/>
    <w:rsid w:val="6BF956E8"/>
    <w:rsid w:val="6CA432C0"/>
    <w:rsid w:val="6E002248"/>
    <w:rsid w:val="6E762DAE"/>
    <w:rsid w:val="6E944A40"/>
    <w:rsid w:val="6EED66DF"/>
    <w:rsid w:val="6F814EDC"/>
    <w:rsid w:val="70322FF2"/>
    <w:rsid w:val="707D5A03"/>
    <w:rsid w:val="72A43960"/>
    <w:rsid w:val="72C03996"/>
    <w:rsid w:val="72F81945"/>
    <w:rsid w:val="73344907"/>
    <w:rsid w:val="73C71972"/>
    <w:rsid w:val="753B44AB"/>
    <w:rsid w:val="75765934"/>
    <w:rsid w:val="780B3E3C"/>
    <w:rsid w:val="780D2E73"/>
    <w:rsid w:val="79285500"/>
    <w:rsid w:val="79C33F9F"/>
    <w:rsid w:val="79E1069C"/>
    <w:rsid w:val="7A2C31C0"/>
    <w:rsid w:val="7CF87787"/>
    <w:rsid w:val="7D780E17"/>
    <w:rsid w:val="7E51753F"/>
    <w:rsid w:val="7F4C03FC"/>
    <w:rsid w:val="7FB448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
    <w:name w:val="heading 3"/>
    <w:basedOn w:val="5"/>
    <w:next w:val="5"/>
    <w:unhideWhenUsed/>
    <w:qFormat/>
    <w:uiPriority w:val="0"/>
    <w:pPr>
      <w:spacing w:before="100" w:beforeAutospacing="1" w:after="100" w:afterAutospacing="1"/>
      <w:jc w:val="left"/>
      <w:outlineLvl w:val="2"/>
    </w:pPr>
    <w:rPr>
      <w:rFonts w:hint="eastAsia" w:ascii="宋体" w:hAnsi="宋体"/>
      <w:b/>
      <w:kern w:val="0"/>
      <w:sz w:val="27"/>
      <w:szCs w:val="27"/>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99"/>
    <w:pPr>
      <w:ind w:firstLine="420"/>
    </w:pPr>
  </w:style>
  <w:style w:type="paragraph" w:styleId="3">
    <w:name w:val="Body Text Indent"/>
    <w:basedOn w:val="1"/>
    <w:next w:val="2"/>
    <w:qFormat/>
    <w:uiPriority w:val="99"/>
    <w:pPr>
      <w:spacing w:after="120"/>
      <w:ind w:left="420" w:leftChars="200"/>
    </w:pPr>
  </w:style>
  <w:style w:type="paragraph" w:styleId="5">
    <w:name w:val="table of authorities"/>
    <w:basedOn w:val="1"/>
    <w:next w:val="1"/>
    <w:unhideWhenUsed/>
    <w:qFormat/>
    <w:uiPriority w:val="99"/>
    <w:pPr>
      <w:ind w:left="200" w:leftChars="200"/>
    </w:pPr>
  </w:style>
  <w:style w:type="paragraph" w:styleId="6">
    <w:name w:val="Body Text"/>
    <w:basedOn w:val="1"/>
    <w:next w:val="1"/>
    <w:qFormat/>
    <w:uiPriority w:val="1"/>
    <w:rPr>
      <w:sz w:val="28"/>
      <w:szCs w:val="28"/>
    </w:rPr>
  </w:style>
  <w:style w:type="paragraph" w:styleId="7">
    <w:name w:val="footer"/>
    <w:basedOn w:val="1"/>
    <w:qFormat/>
    <w:uiPriority w:val="99"/>
    <w:pPr>
      <w:tabs>
        <w:tab w:val="center" w:pos="4153"/>
        <w:tab w:val="right" w:pos="8306"/>
      </w:tabs>
      <w:snapToGrid w:val="0"/>
      <w:jc w:val="left"/>
    </w:pPr>
    <w:rPr>
      <w:sz w:val="18"/>
      <w:szCs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Body Text First Indent"/>
    <w:basedOn w:val="6"/>
    <w:qFormat/>
    <w:uiPriority w:val="0"/>
    <w:pPr>
      <w:ind w:firstLine="420" w:firstLineChars="100"/>
    </w:p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Strong"/>
    <w:basedOn w:val="12"/>
    <w:qFormat/>
    <w:uiPriority w:val="0"/>
    <w:rPr>
      <w:b/>
    </w:rPr>
  </w:style>
  <w:style w:type="paragraph" w:customStyle="1" w:styleId="14">
    <w:name w:val="Table Paragraph"/>
    <w:basedOn w:val="1"/>
    <w:qFormat/>
    <w:uiPriority w:val="1"/>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443</Words>
  <Characters>471</Characters>
  <Lines>0</Lines>
  <Paragraphs>0</Paragraphs>
  <TotalTime>1</TotalTime>
  <ScaleCrop>false</ScaleCrop>
  <LinksUpToDate>false</LinksUpToDate>
  <CharactersWithSpaces>513</CharactersWithSpaces>
  <Application>WPS Office_11.1.0.12980_F1E327BC-269C-435d-A152-05C5408002CA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2022-11-02T08:10:00Z</dcterms:created>
  <dc:creator>Administrator</dc:creator>
  <cp:lastModifiedBy>婧</cp:lastModifiedBy>
  <cp:lastPrinted>2022-11-25T03:05:00Z</cp:lastPrinted>
  <dcterms:modified xsi:type="dcterms:W3CDTF">2022-12-29T10:11:11Z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2052-11.1.0.12980</vt:lpwstr>
  </property>
  <property fmtid="{D5CDD505-2E9C-101B-9397-08002B2CF9AE}" pid="3" name="ICV">
    <vt:lpwstr>65C0C3490B814D20BF359F1F4AB8387E</vt:lpwstr>
  </property>
</Properties>
</file>