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ascii="方正小标宋简体" w:hAnsi="方正小标宋简体" w:eastAsia="方正小标宋简体" w:cs="方正小标宋简体"/>
          <w:color w:val="auto"/>
          <w:spacing w:val="0"/>
          <w:sz w:val="44"/>
          <w:szCs w:val="44"/>
          <w:shd w:val="clear" w:color="auto" w:fill="auto"/>
          <w:lang w:val="en-US" w:eastAsia="zh-CN"/>
        </w:rPr>
      </w:pPr>
      <w:r>
        <w:rPr>
          <w:rFonts w:hint="eastAsia" w:ascii="方正小标宋简体" w:hAnsi="方正小标宋简体" w:eastAsia="方正小标宋简体" w:cs="方正小标宋简体"/>
          <w:color w:val="auto"/>
          <w:spacing w:val="0"/>
          <w:sz w:val="44"/>
          <w:szCs w:val="44"/>
          <w:shd w:val="clear" w:color="auto" w:fill="auto"/>
          <w:lang w:val="en-US" w:eastAsia="zh-CN"/>
        </w:rPr>
        <w:t>关于创优公共资源交易招投标市场环境</w:t>
      </w: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ascii="方正小标宋简体" w:hAnsi="方正小标宋简体" w:eastAsia="方正小标宋简体" w:cs="方正小标宋简体"/>
          <w:color w:val="auto"/>
          <w:spacing w:val="0"/>
          <w:sz w:val="44"/>
          <w:szCs w:val="44"/>
          <w:shd w:val="clear" w:color="auto" w:fill="auto"/>
          <w:lang w:val="en-US" w:eastAsia="zh-CN"/>
        </w:rPr>
      </w:pPr>
      <w:r>
        <w:rPr>
          <w:rFonts w:hint="eastAsia" w:ascii="方正小标宋简体" w:hAnsi="方正小标宋简体" w:eastAsia="方正小标宋简体" w:cs="方正小标宋简体"/>
          <w:color w:val="auto"/>
          <w:spacing w:val="0"/>
          <w:sz w:val="44"/>
          <w:szCs w:val="44"/>
          <w:shd w:val="clear" w:color="auto" w:fill="auto"/>
          <w:lang w:val="en-US" w:eastAsia="zh-CN"/>
        </w:rPr>
        <w:t>实施方案（送审稿）</w:t>
      </w:r>
    </w:p>
    <w:p>
      <w:pPr>
        <w:pStyle w:val="4"/>
        <w:keepNext w:val="0"/>
        <w:keepLines w:val="0"/>
        <w:pageBreakBefore w:val="0"/>
        <w:kinsoku/>
        <w:wordWrap/>
        <w:overflowPunct/>
        <w:topLinePunct w:val="0"/>
        <w:autoSpaceDE/>
        <w:autoSpaceDN/>
        <w:bidi w:val="0"/>
        <w:adjustRightInd/>
        <w:spacing w:line="570" w:lineRule="exact"/>
        <w:ind w:left="0" w:leftChars="0" w:right="0" w:firstLine="640" w:firstLineChars="200"/>
        <w:jc w:val="both"/>
        <w:rPr>
          <w:rFonts w:hint="eastAsia" w:ascii="仿宋_GB2312" w:hAnsi="仿宋_GB2312" w:eastAsia="仿宋_GB2312" w:cs="仿宋_GB2312"/>
          <w:color w:val="auto"/>
          <w:spacing w:val="0"/>
          <w:shd w:val="clear" w:color="auto" w:fill="auto"/>
          <w:lang w:val="en-US" w:eastAsia="zh-CN"/>
        </w:rPr>
      </w:pPr>
      <w:r>
        <w:rPr>
          <w:rFonts w:hint="eastAsia" w:ascii="仿宋_GB2312" w:hAnsi="仿宋_GB2312" w:eastAsia="仿宋_GB2312" w:cs="仿宋_GB2312"/>
          <w:color w:val="auto"/>
          <w:spacing w:val="0"/>
          <w:shd w:val="clear" w:color="auto" w:fill="auto"/>
          <w:lang w:val="en-US" w:eastAsia="zh-CN"/>
        </w:rPr>
        <w:t xml:space="preserve"> </w:t>
      </w:r>
    </w:p>
    <w:p>
      <w:pPr>
        <w:pStyle w:val="4"/>
        <w:keepNext w:val="0"/>
        <w:keepLines w:val="0"/>
        <w:pageBreakBefore w:val="0"/>
        <w:kinsoku/>
        <w:wordWrap/>
        <w:overflowPunct/>
        <w:topLinePunct w:val="0"/>
        <w:autoSpaceDE/>
        <w:autoSpaceDN/>
        <w:bidi w:val="0"/>
        <w:adjustRightInd/>
        <w:spacing w:line="570" w:lineRule="exact"/>
        <w:ind w:left="0" w:leftChars="0" w:right="0" w:firstLine="640" w:firstLineChars="200"/>
        <w:jc w:val="both"/>
        <w:outlineLvl w:val="9"/>
        <w:rPr>
          <w:rFonts w:ascii="Times New Roman" w:hAnsi="Times New Roman" w:eastAsia="仿宋_GB2312" w:cs="仿宋_GB2312"/>
          <w:color w:val="auto"/>
          <w:spacing w:val="0"/>
          <w:shd w:val="clear" w:color="auto" w:fill="auto"/>
          <w:lang w:val="en-US"/>
        </w:rPr>
      </w:pPr>
      <w:r>
        <w:rPr>
          <w:rFonts w:hint="eastAsia" w:ascii="仿宋_GB2312" w:hAnsi="仿宋_GB2312" w:eastAsia="仿宋_GB2312" w:cs="仿宋_GB2312"/>
          <w:color w:val="auto"/>
          <w:spacing w:val="0"/>
          <w:shd w:val="clear" w:color="auto" w:fill="auto"/>
        </w:rPr>
        <w:t>为营造竞争有序的公共资源交易</w:t>
      </w:r>
      <w:r>
        <w:rPr>
          <w:rFonts w:hint="eastAsia" w:ascii="仿宋_GB2312" w:hAnsi="仿宋_GB2312" w:eastAsia="仿宋_GB2312" w:cs="仿宋_GB2312"/>
          <w:color w:val="auto"/>
          <w:spacing w:val="0"/>
          <w:shd w:val="clear" w:color="auto" w:fill="auto"/>
          <w:lang w:eastAsia="zh-CN"/>
        </w:rPr>
        <w:t>招投标</w:t>
      </w:r>
      <w:r>
        <w:rPr>
          <w:rFonts w:hint="eastAsia" w:ascii="仿宋_GB2312" w:hAnsi="仿宋_GB2312" w:eastAsia="仿宋_GB2312" w:cs="仿宋_GB2312"/>
          <w:color w:val="auto"/>
          <w:spacing w:val="0"/>
          <w:shd w:val="clear" w:color="auto" w:fill="auto"/>
        </w:rPr>
        <w:t>市场环境</w:t>
      </w:r>
      <w:r>
        <w:rPr>
          <w:rFonts w:hint="eastAsia" w:ascii="仿宋_GB2312" w:hAnsi="仿宋_GB2312" w:eastAsia="仿宋_GB2312" w:cs="仿宋_GB2312"/>
          <w:color w:val="auto"/>
          <w:spacing w:val="0"/>
          <w:shd w:val="clear" w:color="auto" w:fill="auto"/>
          <w:lang w:eastAsia="zh-CN"/>
        </w:rPr>
        <w:t>，</w:t>
      </w:r>
      <w:r>
        <w:rPr>
          <w:rFonts w:hint="eastAsia" w:ascii="仿宋_GB2312" w:hAnsi="仿宋_GB2312" w:eastAsia="仿宋_GB2312" w:cs="仿宋_GB2312"/>
          <w:color w:val="auto"/>
          <w:spacing w:val="0"/>
          <w:shd w:val="clear" w:color="auto" w:fill="auto"/>
        </w:rPr>
        <w:t>根据</w:t>
      </w:r>
      <w:r>
        <w:rPr>
          <w:rFonts w:hint="eastAsia" w:ascii="仿宋_GB2312" w:hAnsi="仿宋_GB2312" w:eastAsia="仿宋_GB2312" w:cs="仿宋_GB2312"/>
          <w:color w:val="auto"/>
          <w:spacing w:val="0"/>
          <w:sz w:val="32"/>
          <w:szCs w:val="32"/>
          <w:shd w:val="clear" w:color="auto" w:fill="auto"/>
        </w:rPr>
        <w:t>《湖北省人民政府关于促进全省建筑业改革发展二十条意见》（鄂政发〔2018〕14号）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hd w:val="clear" w:color="auto" w:fill="auto"/>
        </w:rPr>
        <w:t>《省委办公厅、省政府办公厅关于在民族市（县）实施“</w:t>
      </w:r>
      <w:r>
        <w:rPr>
          <w:rFonts w:hint="eastAsia" w:ascii="仿宋_GB2312" w:hAnsi="仿宋_GB2312" w:eastAsia="仿宋_GB2312" w:cs="仿宋_GB2312"/>
          <w:color w:val="auto"/>
          <w:spacing w:val="0"/>
          <w:shd w:val="clear" w:color="auto" w:fill="auto"/>
          <w:lang w:val="en-US"/>
        </w:rPr>
        <w:t>616</w:t>
      </w:r>
      <w:r>
        <w:rPr>
          <w:rFonts w:hint="eastAsia" w:ascii="仿宋_GB2312" w:hAnsi="仿宋_GB2312" w:eastAsia="仿宋_GB2312" w:cs="仿宋_GB2312"/>
          <w:color w:val="auto"/>
          <w:spacing w:val="0"/>
          <w:shd w:val="clear" w:color="auto" w:fill="auto"/>
        </w:rPr>
        <w:t>”工程的通知》（鄂办文</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hd w:val="clear" w:color="auto" w:fill="auto"/>
          <w:lang w:val="en-US"/>
        </w:rPr>
        <w:t>2007</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hd w:val="clear" w:color="auto" w:fill="auto"/>
          <w:lang w:val="en-US"/>
        </w:rPr>
        <w:t>43号</w:t>
      </w:r>
      <w:r>
        <w:rPr>
          <w:rFonts w:hint="eastAsia" w:ascii="仿宋_GB2312" w:hAnsi="仿宋_GB2312" w:eastAsia="仿宋_GB2312" w:cs="仿宋_GB2312"/>
          <w:color w:val="auto"/>
          <w:spacing w:val="0"/>
          <w:shd w:val="clear" w:color="auto" w:fill="auto"/>
        </w:rPr>
        <w:t>）</w:t>
      </w:r>
      <w:r>
        <w:rPr>
          <w:rFonts w:hint="eastAsia" w:ascii="仿宋_GB2312" w:hAnsi="仿宋_GB2312" w:eastAsia="仿宋_GB2312" w:cs="仿宋_GB2312"/>
          <w:color w:val="auto"/>
          <w:spacing w:val="0"/>
          <w:shd w:val="clear" w:color="auto" w:fill="auto"/>
          <w:lang w:eastAsia="zh-CN"/>
        </w:rPr>
        <w:t>和</w:t>
      </w:r>
      <w:r>
        <w:rPr>
          <w:rFonts w:hint="eastAsia" w:ascii="仿宋_GB2312" w:hAnsi="仿宋_GB2312" w:eastAsia="仿宋_GB2312" w:cs="仿宋_GB2312"/>
          <w:color w:val="auto"/>
          <w:spacing w:val="0"/>
          <w:sz w:val="32"/>
          <w:szCs w:val="32"/>
          <w:shd w:val="clear" w:color="auto" w:fill="auto"/>
          <w:lang w:eastAsia="zh-CN"/>
        </w:rPr>
        <w:t>《省人民政府办公厅关于印发加快推进疫后重振“十大工程”项目招投标工作措施的通知》（鄂政办发〔20</w:t>
      </w:r>
      <w:r>
        <w:rPr>
          <w:rFonts w:hint="eastAsia" w:ascii="仿宋_GB2312" w:hAnsi="仿宋_GB2312" w:eastAsia="仿宋_GB2312" w:cs="仿宋_GB2312"/>
          <w:color w:val="auto"/>
          <w:spacing w:val="0"/>
          <w:sz w:val="32"/>
          <w:szCs w:val="32"/>
          <w:shd w:val="clear" w:color="auto" w:fill="auto"/>
          <w:lang w:val="en-US" w:eastAsia="zh-CN"/>
        </w:rPr>
        <w:t>20</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lang w:val="en-US" w:eastAsia="zh-CN"/>
        </w:rPr>
        <w:t>46</w:t>
      </w:r>
      <w:r>
        <w:rPr>
          <w:rFonts w:hint="eastAsia" w:ascii="仿宋_GB2312" w:hAnsi="仿宋_GB2312" w:eastAsia="仿宋_GB2312" w:cs="仿宋_GB2312"/>
          <w:color w:val="auto"/>
          <w:spacing w:val="0"/>
          <w:sz w:val="32"/>
          <w:szCs w:val="32"/>
          <w:shd w:val="clear" w:color="auto" w:fill="auto"/>
          <w:lang w:eastAsia="zh-CN"/>
        </w:rPr>
        <w:t>号）</w:t>
      </w:r>
      <w:r>
        <w:rPr>
          <w:rFonts w:hint="eastAsia" w:ascii="仿宋_GB2312" w:hAnsi="仿宋_GB2312" w:eastAsia="仿宋_GB2312" w:cs="仿宋_GB2312"/>
          <w:color w:val="auto"/>
          <w:spacing w:val="0"/>
          <w:shd w:val="clear" w:color="auto" w:fill="auto"/>
          <w:lang w:eastAsia="zh-CN"/>
        </w:rPr>
        <w:t>等</w:t>
      </w:r>
      <w:r>
        <w:rPr>
          <w:rFonts w:hint="eastAsia" w:ascii="仿宋_GB2312" w:hAnsi="仿宋_GB2312" w:eastAsia="仿宋_GB2312" w:cs="仿宋_GB2312"/>
          <w:color w:val="auto"/>
          <w:spacing w:val="0"/>
          <w:shd w:val="clear" w:color="auto" w:fill="auto"/>
        </w:rPr>
        <w:t>要求，结合</w:t>
      </w:r>
      <w:r>
        <w:rPr>
          <w:rFonts w:hint="eastAsia" w:ascii="仿宋_GB2312" w:hAnsi="仿宋_GB2312" w:eastAsia="仿宋_GB2312" w:cs="仿宋_GB2312"/>
          <w:color w:val="auto"/>
          <w:spacing w:val="0"/>
          <w:shd w:val="clear" w:color="auto" w:fill="auto"/>
          <w:lang w:eastAsia="zh-CN"/>
        </w:rPr>
        <w:t>我县实际</w:t>
      </w:r>
      <w:r>
        <w:rPr>
          <w:rFonts w:hint="eastAsia" w:ascii="仿宋_GB2312" w:hAnsi="仿宋_GB2312" w:eastAsia="仿宋_GB2312" w:cs="仿宋_GB2312"/>
          <w:color w:val="auto"/>
          <w:spacing w:val="0"/>
          <w:shd w:val="clear" w:color="auto" w:fill="auto"/>
        </w:rPr>
        <w:t>，</w:t>
      </w:r>
      <w:r>
        <w:rPr>
          <w:rFonts w:hint="eastAsia" w:ascii="仿宋_GB2312" w:hAnsi="仿宋_GB2312" w:eastAsia="仿宋_GB2312" w:cs="仿宋_GB2312"/>
          <w:color w:val="auto"/>
          <w:spacing w:val="0"/>
          <w:shd w:val="clear" w:color="auto" w:fill="auto"/>
          <w:lang w:eastAsia="zh-CN"/>
        </w:rPr>
        <w:t>特</w:t>
      </w:r>
      <w:r>
        <w:rPr>
          <w:rFonts w:hint="eastAsia" w:ascii="仿宋_GB2312" w:hAnsi="仿宋_GB2312" w:eastAsia="仿宋_GB2312" w:cs="仿宋_GB2312"/>
          <w:color w:val="auto"/>
          <w:spacing w:val="0"/>
          <w:shd w:val="clear" w:color="auto" w:fill="auto"/>
        </w:rPr>
        <w:t>制定本方案。</w:t>
      </w:r>
      <w:r>
        <w:rPr>
          <w:rFonts w:hint="eastAsia" w:ascii="Times New Roman" w:hAnsi="Times New Roman" w:eastAsia="仿宋_GB2312" w:cs="仿宋_GB2312"/>
          <w:color w:val="auto"/>
          <w:spacing w:val="0"/>
          <w:shd w:val="clear" w:color="auto" w:fill="auto"/>
          <w:lang w:val="en-US"/>
        </w:rPr>
        <w:t xml:space="preserve"> </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黑体" w:hAnsi="黑体" w:eastAsia="黑体" w:cs="黑体"/>
          <w:color w:val="auto"/>
          <w:spacing w:val="0"/>
          <w:sz w:val="32"/>
          <w:szCs w:val="32"/>
          <w:shd w:val="clear" w:color="auto" w:fill="auto"/>
          <w:lang w:val="en-US"/>
        </w:rPr>
        <w:t>一、指导思想</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color w:val="auto"/>
          <w:spacing w:val="0"/>
          <w:sz w:val="32"/>
          <w:szCs w:val="32"/>
          <w:shd w:val="clear" w:color="auto" w:fill="auto"/>
          <w:lang w:val="en-US"/>
        </w:rPr>
        <w:t>以习近平新时代中国特色社会主义思想为指导，深入学习贯彻习近平总书记关于优化营商环境工作的重要讲话</w:t>
      </w:r>
      <w:r>
        <w:rPr>
          <w:rFonts w:hint="eastAsia" w:ascii="仿宋_GB2312" w:hAnsi="仿宋_GB2312" w:eastAsia="仿宋_GB2312" w:cs="仿宋_GB2312"/>
          <w:color w:val="auto"/>
          <w:spacing w:val="0"/>
          <w:sz w:val="32"/>
          <w:szCs w:val="32"/>
          <w:shd w:val="clear" w:color="auto" w:fill="auto"/>
          <w:lang w:val="en-US" w:eastAsia="zh-CN"/>
        </w:rPr>
        <w:t>精神及</w:t>
      </w:r>
      <w:r>
        <w:rPr>
          <w:rFonts w:hint="eastAsia" w:ascii="仿宋_GB2312" w:hAnsi="仿宋_GB2312" w:eastAsia="仿宋_GB2312" w:cs="仿宋_GB2312"/>
          <w:color w:val="auto"/>
          <w:spacing w:val="0"/>
          <w:sz w:val="32"/>
          <w:szCs w:val="32"/>
          <w:shd w:val="clear" w:color="auto" w:fill="auto"/>
          <w:lang w:val="en-US"/>
        </w:rPr>
        <w:t>关于公共资源交易工作“应进必进、统一规范、公开透明、服务高效”的十六字方针，</w:t>
      </w:r>
      <w:r>
        <w:rPr>
          <w:rFonts w:hint="eastAsia" w:ascii="仿宋_GB2312" w:hAnsi="仿宋_GB2312" w:eastAsia="仿宋_GB2312" w:cs="仿宋_GB2312"/>
          <w:color w:val="auto"/>
          <w:spacing w:val="0"/>
          <w:sz w:val="32"/>
          <w:szCs w:val="32"/>
          <w:shd w:val="clear" w:color="auto" w:fill="auto"/>
        </w:rPr>
        <w:t>聚焦</w:t>
      </w:r>
      <w:r>
        <w:rPr>
          <w:rFonts w:hint="eastAsia" w:ascii="仿宋_GB2312" w:hAnsi="仿宋_GB2312" w:eastAsia="仿宋_GB2312" w:cs="仿宋_GB2312"/>
          <w:color w:val="auto"/>
          <w:spacing w:val="0"/>
          <w:sz w:val="32"/>
          <w:szCs w:val="32"/>
          <w:shd w:val="clear" w:color="auto" w:fill="auto"/>
          <w:lang w:eastAsia="zh-CN"/>
        </w:rPr>
        <w:t>我</w:t>
      </w:r>
      <w:r>
        <w:rPr>
          <w:rFonts w:hint="eastAsia" w:ascii="仿宋_GB2312" w:hAnsi="仿宋_GB2312" w:eastAsia="仿宋_GB2312" w:cs="仿宋_GB2312"/>
          <w:color w:val="auto"/>
          <w:spacing w:val="0"/>
          <w:sz w:val="32"/>
          <w:szCs w:val="32"/>
          <w:shd w:val="clear" w:color="auto" w:fill="auto"/>
        </w:rPr>
        <w:t>县公共资源交易监管虚化、弱化等问题，</w:t>
      </w:r>
      <w:r>
        <w:rPr>
          <w:rFonts w:hint="eastAsia" w:ascii="仿宋_GB2312" w:hAnsi="仿宋_GB2312" w:eastAsia="仿宋_GB2312" w:cs="仿宋_GB2312"/>
          <w:color w:val="auto"/>
          <w:spacing w:val="0"/>
          <w:sz w:val="32"/>
          <w:szCs w:val="32"/>
          <w:shd w:val="clear" w:color="auto" w:fill="auto"/>
          <w:lang w:eastAsia="zh-CN"/>
        </w:rPr>
        <w:t>以</w:t>
      </w:r>
      <w:r>
        <w:rPr>
          <w:rFonts w:hint="eastAsia" w:ascii="仿宋_GB2312" w:hAnsi="仿宋_GB2312" w:eastAsia="仿宋_GB2312" w:cs="仿宋_GB2312"/>
          <w:color w:val="auto"/>
          <w:spacing w:val="0"/>
          <w:sz w:val="32"/>
          <w:szCs w:val="32"/>
          <w:shd w:val="clear" w:color="auto" w:fill="auto"/>
        </w:rPr>
        <w:t>遵循上位法为基本原则</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以问题为导向</w:t>
      </w:r>
      <w:r>
        <w:rPr>
          <w:rFonts w:hint="eastAsia" w:ascii="仿宋_GB2312" w:hAnsi="仿宋_GB2312" w:eastAsia="仿宋_GB2312" w:cs="仿宋_GB2312"/>
          <w:color w:val="auto"/>
          <w:spacing w:val="0"/>
          <w:sz w:val="32"/>
          <w:szCs w:val="32"/>
          <w:shd w:val="clear" w:color="auto" w:fill="auto"/>
          <w:lang w:eastAsia="zh-CN"/>
        </w:rPr>
        <w:t>，以改革创新为突破口</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rPr>
        <w:t>着力</w:t>
      </w:r>
      <w:r>
        <w:rPr>
          <w:rFonts w:hint="eastAsia" w:ascii="仿宋_GB2312" w:hAnsi="仿宋_GB2312" w:eastAsia="仿宋_GB2312" w:cs="仿宋_GB2312"/>
          <w:color w:val="auto"/>
          <w:spacing w:val="0"/>
          <w:sz w:val="32"/>
          <w:szCs w:val="32"/>
          <w:shd w:val="clear" w:color="auto" w:fill="auto"/>
        </w:rPr>
        <w:t>解决我</w:t>
      </w:r>
      <w:r>
        <w:rPr>
          <w:rFonts w:hint="eastAsia" w:ascii="仿宋_GB2312" w:hAnsi="仿宋_GB2312" w:eastAsia="仿宋_GB2312" w:cs="仿宋_GB2312"/>
          <w:color w:val="auto"/>
          <w:spacing w:val="0"/>
          <w:sz w:val="32"/>
          <w:szCs w:val="32"/>
          <w:shd w:val="clear" w:color="auto" w:fill="auto"/>
          <w:lang w:eastAsia="zh-CN"/>
        </w:rPr>
        <w:t>县</w:t>
      </w:r>
      <w:r>
        <w:rPr>
          <w:rFonts w:hint="eastAsia" w:ascii="仿宋_GB2312" w:hAnsi="仿宋_GB2312" w:eastAsia="仿宋_GB2312" w:cs="仿宋_GB2312"/>
          <w:color w:val="auto"/>
          <w:spacing w:val="0"/>
          <w:sz w:val="32"/>
          <w:szCs w:val="32"/>
          <w:shd w:val="clear" w:color="auto" w:fill="auto"/>
        </w:rPr>
        <w:t>公共资源招投标监督管理工作中的各种问题和矛盾</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lang w:val="en-US" w:eastAsia="zh-CN"/>
        </w:rPr>
        <w:t>持续</w:t>
      </w:r>
      <w:r>
        <w:rPr>
          <w:rFonts w:hint="eastAsia" w:ascii="仿宋_GB2312" w:hAnsi="仿宋_GB2312" w:eastAsia="仿宋_GB2312" w:cs="仿宋_GB2312"/>
          <w:color w:val="auto"/>
          <w:spacing w:val="0"/>
          <w:sz w:val="32"/>
          <w:szCs w:val="32"/>
          <w:shd w:val="clear" w:color="auto" w:fill="auto"/>
          <w:lang w:val="en-US"/>
        </w:rPr>
        <w:t>创</w:t>
      </w:r>
      <w:r>
        <w:rPr>
          <w:rFonts w:hint="eastAsia" w:ascii="仿宋_GB2312" w:hAnsi="仿宋_GB2312" w:eastAsia="仿宋_GB2312" w:cs="仿宋_GB2312"/>
          <w:color w:val="auto"/>
          <w:spacing w:val="0"/>
          <w:sz w:val="32"/>
          <w:szCs w:val="32"/>
          <w:shd w:val="clear" w:color="auto" w:fill="auto"/>
          <w:lang w:val="en-US" w:eastAsia="zh-CN"/>
        </w:rPr>
        <w:t>优公共资源交易招投标市场</w:t>
      </w:r>
      <w:r>
        <w:rPr>
          <w:rFonts w:hint="eastAsia" w:ascii="仿宋_GB2312" w:hAnsi="仿宋_GB2312" w:eastAsia="仿宋_GB2312" w:cs="仿宋_GB2312"/>
          <w:color w:val="auto"/>
          <w:spacing w:val="0"/>
          <w:sz w:val="32"/>
          <w:szCs w:val="32"/>
          <w:shd w:val="clear" w:color="auto" w:fill="auto"/>
        </w:rPr>
        <w:t>环境。</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黑体" w:hAnsi="黑体" w:eastAsia="黑体" w:cs="黑体"/>
          <w:color w:val="auto"/>
          <w:spacing w:val="0"/>
          <w:sz w:val="32"/>
          <w:szCs w:val="32"/>
          <w:shd w:val="clear" w:color="auto" w:fill="auto"/>
          <w:lang w:val="en-US"/>
        </w:rPr>
        <w:t>二、总体目标</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color w:val="auto"/>
          <w:spacing w:val="0"/>
          <w:sz w:val="32"/>
          <w:szCs w:val="32"/>
          <w:shd w:val="clear" w:color="auto" w:fill="auto"/>
          <w:lang w:val="en-US" w:eastAsia="zh-CN"/>
        </w:rPr>
        <w:t>为全面落实属地交易原则，切实</w:t>
      </w:r>
      <w:r>
        <w:rPr>
          <w:rFonts w:hint="eastAsia" w:ascii="仿宋_GB2312" w:hAnsi="仿宋_GB2312" w:eastAsia="仿宋_GB2312" w:cs="仿宋_GB2312"/>
          <w:color w:val="auto"/>
          <w:spacing w:val="0"/>
          <w:sz w:val="32"/>
          <w:szCs w:val="32"/>
          <w:shd w:val="clear" w:color="auto" w:fill="auto"/>
          <w:lang w:val="en-US"/>
        </w:rPr>
        <w:t>提高</w:t>
      </w:r>
      <w:r>
        <w:rPr>
          <w:rFonts w:hint="eastAsia" w:ascii="仿宋_GB2312" w:hAnsi="仿宋_GB2312" w:eastAsia="仿宋_GB2312" w:cs="仿宋_GB2312"/>
          <w:color w:val="auto"/>
          <w:spacing w:val="0"/>
          <w:sz w:val="32"/>
          <w:szCs w:val="32"/>
          <w:shd w:val="clear" w:color="auto" w:fill="auto"/>
          <w:lang w:val="en-US" w:eastAsia="zh-CN"/>
        </w:rPr>
        <w:t>我</w:t>
      </w:r>
      <w:r>
        <w:rPr>
          <w:rFonts w:hint="eastAsia" w:ascii="仿宋_GB2312" w:hAnsi="仿宋_GB2312" w:eastAsia="仿宋_GB2312" w:cs="仿宋_GB2312"/>
          <w:color w:val="auto"/>
          <w:spacing w:val="0"/>
          <w:sz w:val="32"/>
          <w:szCs w:val="32"/>
          <w:shd w:val="clear" w:color="auto" w:fill="auto"/>
          <w:lang w:val="en-US"/>
        </w:rPr>
        <w:t>县公共资源交易监管水平</w:t>
      </w:r>
      <w:r>
        <w:rPr>
          <w:rFonts w:hint="eastAsia" w:ascii="仿宋_GB2312" w:hAnsi="仿宋_GB2312" w:eastAsia="仿宋_GB2312" w:cs="仿宋_GB2312"/>
          <w:color w:val="auto"/>
          <w:spacing w:val="0"/>
          <w:sz w:val="32"/>
          <w:szCs w:val="32"/>
          <w:shd w:val="clear" w:color="auto" w:fill="auto"/>
          <w:lang w:val="en-US" w:eastAsia="zh-CN"/>
        </w:rPr>
        <w:t>，</w:t>
      </w:r>
      <w:r>
        <w:rPr>
          <w:rFonts w:hint="eastAsia" w:ascii="仿宋_GB2312" w:hAnsi="仿宋_GB2312" w:eastAsia="仿宋_GB2312" w:cs="仿宋_GB2312"/>
          <w:color w:val="auto"/>
          <w:spacing w:val="0"/>
          <w:sz w:val="32"/>
          <w:szCs w:val="32"/>
          <w:shd w:val="clear" w:color="auto" w:fill="auto"/>
          <w:lang w:val="en-US"/>
        </w:rPr>
        <w:t>在省公共资源交易监督管理局和省公共资源交易中心</w:t>
      </w:r>
      <w:r>
        <w:rPr>
          <w:rFonts w:hint="eastAsia" w:ascii="仿宋_GB2312" w:hAnsi="仿宋_GB2312" w:eastAsia="仿宋_GB2312" w:cs="仿宋_GB2312"/>
          <w:color w:val="auto"/>
          <w:spacing w:val="0"/>
          <w:sz w:val="32"/>
          <w:szCs w:val="32"/>
          <w:shd w:val="clear" w:color="auto" w:fill="auto"/>
          <w:lang w:val="en-US" w:eastAsia="zh-CN"/>
        </w:rPr>
        <w:t>“616”工程</w:t>
      </w:r>
      <w:r>
        <w:rPr>
          <w:rFonts w:hint="eastAsia" w:ascii="仿宋_GB2312" w:hAnsi="仿宋_GB2312" w:eastAsia="仿宋_GB2312" w:cs="仿宋_GB2312"/>
          <w:color w:val="auto"/>
          <w:spacing w:val="0"/>
          <w:sz w:val="32"/>
          <w:szCs w:val="32"/>
          <w:shd w:val="clear" w:color="auto" w:fill="auto"/>
          <w:lang w:val="en-US"/>
        </w:rPr>
        <w:t>对口支援下，通过建立机制、完善制度，提升交易平台功能，按照“网上办事100%、全流程电子化交易100%、无纸化交易100%、不见面开标100%”目标，实现全流程电子化和远程异地评标常态化，打造全省公共资源交易</w:t>
      </w:r>
      <w:r>
        <w:rPr>
          <w:rFonts w:hint="eastAsia" w:ascii="仿宋_GB2312" w:hAnsi="仿宋_GB2312" w:eastAsia="仿宋_GB2312" w:cs="仿宋_GB2312"/>
          <w:color w:val="auto"/>
          <w:spacing w:val="0"/>
          <w:sz w:val="32"/>
          <w:szCs w:val="32"/>
          <w:shd w:val="clear" w:color="auto" w:fill="auto"/>
          <w:lang w:val="en-US" w:eastAsia="zh-CN"/>
        </w:rPr>
        <w:t>和</w:t>
      </w:r>
      <w:r>
        <w:rPr>
          <w:rFonts w:hint="eastAsia" w:ascii="仿宋_GB2312" w:hAnsi="仿宋_GB2312" w:eastAsia="仿宋_GB2312" w:cs="仿宋_GB2312"/>
          <w:color w:val="auto"/>
          <w:spacing w:val="0"/>
          <w:sz w:val="32"/>
          <w:szCs w:val="32"/>
          <w:shd w:val="clear" w:color="auto" w:fill="auto"/>
          <w:lang w:val="en-US"/>
        </w:rPr>
        <w:t>监管示范引领县。</w:t>
      </w:r>
    </w:p>
    <w:p>
      <w:pPr>
        <w:pStyle w:val="4"/>
        <w:keepNext w:val="0"/>
        <w:keepLines w:val="0"/>
        <w:pageBreakBefore w:val="0"/>
        <w:numPr>
          <w:ilvl w:val="0"/>
          <w:numId w:val="1"/>
        </w:numPr>
        <w:kinsoku/>
        <w:wordWrap/>
        <w:overflowPunct/>
        <w:topLinePunct w:val="0"/>
        <w:autoSpaceDE/>
        <w:autoSpaceDN/>
        <w:bidi w:val="0"/>
        <w:adjustRightInd/>
        <w:spacing w:line="570" w:lineRule="exact"/>
        <w:ind w:left="0" w:leftChars="0" w:right="0" w:firstLine="640" w:firstLineChars="200"/>
        <w:jc w:val="both"/>
        <w:outlineLvl w:val="9"/>
        <w:rPr>
          <w:rFonts w:ascii="黑体" w:hAnsi="黑体" w:eastAsia="黑体" w:cs="黑体"/>
          <w:color w:val="auto"/>
          <w:spacing w:val="0"/>
          <w:shd w:val="clear" w:color="auto" w:fill="auto"/>
        </w:rPr>
      </w:pPr>
      <w:r>
        <w:rPr>
          <w:rFonts w:hint="eastAsia" w:ascii="黑体" w:hAnsi="黑体" w:eastAsia="黑体" w:cs="黑体"/>
          <w:color w:val="auto"/>
          <w:spacing w:val="0"/>
          <w:shd w:val="clear" w:color="auto" w:fill="auto"/>
        </w:rPr>
        <w:t>工作任务</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楷体_GB2312" w:hAnsi="楷体_GB2312" w:eastAsia="楷体_GB2312" w:cs="楷体_GB2312"/>
          <w:b w:val="0"/>
          <w:bCs w:val="0"/>
          <w:color w:val="auto"/>
          <w:spacing w:val="0"/>
          <w:sz w:val="32"/>
          <w:szCs w:val="32"/>
          <w:shd w:val="clear" w:color="auto" w:fill="auto"/>
        </w:rPr>
      </w:pPr>
      <w:r>
        <w:rPr>
          <w:rFonts w:hint="eastAsia" w:ascii="楷体_GB2312" w:hAnsi="楷体_GB2312" w:eastAsia="楷体_GB2312" w:cs="楷体_GB2312"/>
          <w:b w:val="0"/>
          <w:bCs w:val="0"/>
          <w:color w:val="auto"/>
          <w:spacing w:val="0"/>
          <w:shd w:val="clear" w:color="auto" w:fill="auto"/>
          <w:lang w:val="en-US"/>
        </w:rPr>
        <w:t>（一）</w:t>
      </w:r>
      <w:r>
        <w:rPr>
          <w:rFonts w:hint="eastAsia" w:ascii="楷体_GB2312" w:hAnsi="楷体_GB2312" w:eastAsia="楷体_GB2312" w:cs="楷体_GB2312"/>
          <w:b w:val="0"/>
          <w:bCs w:val="0"/>
          <w:color w:val="auto"/>
          <w:spacing w:val="0"/>
          <w:sz w:val="32"/>
          <w:szCs w:val="32"/>
          <w:shd w:val="clear" w:color="auto" w:fill="auto"/>
        </w:rPr>
        <w:t>深化</w:t>
      </w:r>
      <w:r>
        <w:rPr>
          <w:rFonts w:hint="eastAsia" w:ascii="楷体_GB2312" w:hAnsi="楷体_GB2312" w:eastAsia="楷体_GB2312" w:cs="楷体_GB2312"/>
          <w:b w:val="0"/>
          <w:bCs w:val="0"/>
          <w:color w:val="auto"/>
          <w:spacing w:val="0"/>
          <w:sz w:val="32"/>
          <w:szCs w:val="32"/>
          <w:shd w:val="clear" w:color="auto" w:fill="auto"/>
          <w:lang w:eastAsia="zh-CN"/>
        </w:rPr>
        <w:t>工程建设招投标</w:t>
      </w:r>
      <w:r>
        <w:rPr>
          <w:rFonts w:hint="eastAsia" w:ascii="楷体_GB2312" w:hAnsi="楷体_GB2312" w:eastAsia="楷体_GB2312" w:cs="楷体_GB2312"/>
          <w:b w:val="0"/>
          <w:bCs w:val="0"/>
          <w:color w:val="auto"/>
          <w:spacing w:val="0"/>
          <w:sz w:val="32"/>
          <w:szCs w:val="32"/>
          <w:shd w:val="clear" w:color="auto" w:fill="auto"/>
        </w:rPr>
        <w:t>领域“放管服”改革</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Times New Roman" w:hAnsi="Times New Roman" w:eastAsia="仿宋_GB2312" w:cs="仿宋_GB2312"/>
          <w:color w:val="auto"/>
          <w:sz w:val="32"/>
          <w:szCs w:val="32"/>
          <w:shd w:val="clear" w:color="auto" w:fill="auto"/>
          <w:lang w:val="en-US" w:eastAsia="zh-CN" w:bidi="zh-CN"/>
        </w:rPr>
      </w:pPr>
      <w:r>
        <w:rPr>
          <w:rFonts w:hint="eastAsia" w:ascii="仿宋_GB2312" w:hAnsi="仿宋_GB2312" w:eastAsia="仿宋_GB2312" w:cs="仿宋_GB2312"/>
          <w:b/>
          <w:bCs/>
          <w:color w:val="auto"/>
          <w:spacing w:val="0"/>
          <w:sz w:val="32"/>
          <w:szCs w:val="32"/>
          <w:lang w:val="en-US" w:eastAsia="zh-CN"/>
        </w:rPr>
        <w:t>1.依法必须招标的项目探索实施不同的评标（审）办法。</w:t>
      </w:r>
      <w:r>
        <w:rPr>
          <w:rFonts w:hint="eastAsia" w:ascii="Times New Roman" w:hAnsi="Times New Roman" w:eastAsia="仿宋_GB2312" w:cs="仿宋_GB2312"/>
          <w:color w:val="auto"/>
          <w:sz w:val="32"/>
          <w:szCs w:val="32"/>
          <w:shd w:val="clear" w:color="auto" w:fill="auto"/>
          <w:lang w:val="zh-CN" w:eastAsia="zh-CN" w:bidi="zh-CN"/>
        </w:rPr>
        <w:t>（牵头单位：县政务局、县公共资源交易中心；责任单位：</w:t>
      </w:r>
      <w:r>
        <w:rPr>
          <w:rFonts w:hint="eastAsia" w:eastAsia="仿宋_GB2312" w:cs="仿宋_GB2312"/>
          <w:color w:val="auto"/>
          <w:sz w:val="32"/>
          <w:szCs w:val="32"/>
          <w:shd w:val="clear" w:color="auto" w:fill="auto"/>
          <w:lang w:val="en-US" w:eastAsia="zh-CN" w:bidi="zh-CN"/>
        </w:rPr>
        <w:t>各乡镇人民政府， 县直相关单位</w:t>
      </w:r>
      <w:r>
        <w:rPr>
          <w:rFonts w:hint="eastAsia" w:ascii="Times New Roman" w:hAnsi="Times New Roman" w:eastAsia="仿宋_GB2312" w:cs="仿宋_GB2312"/>
          <w:color w:val="auto"/>
          <w:sz w:val="32"/>
          <w:szCs w:val="32"/>
          <w:shd w:val="clear" w:color="auto" w:fill="auto"/>
          <w:lang w:val="zh-CN" w:eastAsia="zh-CN" w:bidi="zh-CN"/>
        </w:rPr>
        <w:t>；</w:t>
      </w:r>
      <w:r>
        <w:rPr>
          <w:rFonts w:hint="eastAsia" w:ascii="Times New Roman" w:hAnsi="Times New Roman" w:eastAsia="仿宋_GB2312" w:cs="仿宋_GB2312"/>
          <w:color w:val="auto"/>
          <w:sz w:val="32"/>
          <w:szCs w:val="32"/>
          <w:shd w:val="clear" w:color="auto" w:fill="auto"/>
          <w:lang w:val="en-US" w:eastAsia="zh-CN" w:bidi="zh-CN"/>
        </w:rPr>
        <w:t>完成时限：2020年12月底）</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rPr>
          <w:rFonts w:hint="default" w:ascii="仿宋_GB2312" w:hAnsi="仿宋_GB2312" w:eastAsia="仿宋_GB2312" w:cs="仿宋_GB2312"/>
          <w:color w:val="auto"/>
          <w:spacing w:val="0"/>
          <w:sz w:val="32"/>
          <w:szCs w:val="32"/>
          <w:lang w:val="en-US" w:eastAsia="zh-CN" w:bidi="zh-CN"/>
        </w:rPr>
      </w:pPr>
      <w:r>
        <w:rPr>
          <w:rFonts w:hint="eastAsia" w:ascii="仿宋_GB2312" w:hAnsi="仿宋_GB2312" w:eastAsia="仿宋_GB2312" w:cs="仿宋_GB2312"/>
          <w:color w:val="auto"/>
          <w:spacing w:val="0"/>
          <w:sz w:val="32"/>
          <w:szCs w:val="32"/>
          <w:lang w:val="en-US" w:eastAsia="zh-CN" w:bidi="zh-CN"/>
        </w:rPr>
        <w:t>⑴采用经评审的最低投标价法。对我县本级</w:t>
      </w:r>
      <w:r>
        <w:rPr>
          <w:rFonts w:hint="eastAsia" w:ascii="仿宋_GB2312" w:hAnsi="仿宋_GB2312" w:eastAsia="仿宋_GB2312" w:cs="仿宋_GB2312"/>
          <w:color w:val="auto"/>
          <w:spacing w:val="0"/>
          <w:sz w:val="32"/>
          <w:szCs w:val="32"/>
          <w:lang w:val="zh-CN" w:eastAsia="zh-CN" w:bidi="zh-CN"/>
        </w:rPr>
        <w:t>施工单项合同估算价</w:t>
      </w:r>
      <w:r>
        <w:rPr>
          <w:rFonts w:hint="eastAsia" w:ascii="仿宋_GB2312" w:hAnsi="仿宋_GB2312" w:eastAsia="仿宋_GB2312" w:cs="仿宋_GB2312"/>
          <w:color w:val="auto"/>
          <w:spacing w:val="0"/>
          <w:sz w:val="32"/>
          <w:szCs w:val="32"/>
          <w:lang w:val="en-US" w:eastAsia="zh-CN" w:bidi="zh-CN"/>
        </w:rPr>
        <w:t>400（含）万元至1000万元（含）</w:t>
      </w:r>
      <w:r>
        <w:rPr>
          <w:rFonts w:hint="eastAsia" w:ascii="仿宋_GB2312" w:hAnsi="仿宋_GB2312" w:eastAsia="仿宋_GB2312" w:cs="仿宋_GB2312"/>
          <w:color w:val="auto"/>
          <w:spacing w:val="0"/>
          <w:sz w:val="32"/>
          <w:szCs w:val="32"/>
          <w:lang w:val="zh-CN" w:eastAsia="zh-CN" w:bidi="zh-CN"/>
        </w:rPr>
        <w:t>人民币以内、重要设备材料等货物采购单项合同估算价在</w:t>
      </w:r>
      <w:r>
        <w:rPr>
          <w:rFonts w:hint="eastAsia" w:ascii="仿宋_GB2312" w:hAnsi="仿宋_GB2312" w:eastAsia="仿宋_GB2312" w:cs="仿宋_GB2312"/>
          <w:color w:val="auto"/>
          <w:spacing w:val="0"/>
          <w:sz w:val="32"/>
          <w:szCs w:val="32"/>
          <w:lang w:val="en-US" w:eastAsia="zh-CN" w:bidi="zh-CN"/>
        </w:rPr>
        <w:t>500</w:t>
      </w:r>
      <w:r>
        <w:rPr>
          <w:rFonts w:hint="eastAsia" w:ascii="仿宋_GB2312" w:hAnsi="仿宋_GB2312" w:eastAsia="仿宋_GB2312" w:cs="仿宋_GB2312"/>
          <w:color w:val="auto"/>
          <w:spacing w:val="0"/>
          <w:sz w:val="32"/>
          <w:szCs w:val="32"/>
          <w:lang w:val="zh-CN" w:eastAsia="zh-CN" w:bidi="zh-CN"/>
        </w:rPr>
        <w:t>万元（含）人民币以内和勘察设计监理等服务采购单项合同估算价在</w:t>
      </w:r>
      <w:r>
        <w:rPr>
          <w:rFonts w:hint="eastAsia" w:ascii="仿宋_GB2312" w:hAnsi="仿宋_GB2312" w:eastAsia="仿宋_GB2312" w:cs="仿宋_GB2312"/>
          <w:color w:val="auto"/>
          <w:spacing w:val="0"/>
          <w:sz w:val="32"/>
          <w:szCs w:val="32"/>
          <w:lang w:val="en-US" w:eastAsia="zh-CN" w:bidi="zh-CN"/>
        </w:rPr>
        <w:t>3</w:t>
      </w:r>
      <w:r>
        <w:rPr>
          <w:rFonts w:hint="eastAsia" w:ascii="仿宋_GB2312" w:hAnsi="仿宋_GB2312" w:eastAsia="仿宋_GB2312" w:cs="仿宋_GB2312"/>
          <w:color w:val="auto"/>
          <w:spacing w:val="0"/>
          <w:sz w:val="32"/>
          <w:szCs w:val="32"/>
          <w:lang w:val="zh-CN" w:eastAsia="zh-CN" w:bidi="zh-CN"/>
        </w:rPr>
        <w:t>00万元（含）人民币以内的工程建设项目，实行最低投标价法。评标时除实行资格预审的项目外，均采取对价格最低的</w:t>
      </w:r>
      <w:r>
        <w:rPr>
          <w:rFonts w:hint="eastAsia" w:ascii="仿宋_GB2312" w:hAnsi="仿宋_GB2312" w:eastAsia="仿宋_GB2312" w:cs="仿宋_GB2312"/>
          <w:color w:val="auto"/>
          <w:spacing w:val="0"/>
          <w:sz w:val="32"/>
          <w:szCs w:val="32"/>
          <w:lang w:val="en-US" w:eastAsia="zh-CN" w:bidi="zh-CN"/>
        </w:rPr>
        <w:t>7家进行评标的办法（少于7家投标人全部评标）。特殊情况的项目经县政府同意后可采用其他评标办法。</w:t>
      </w:r>
    </w:p>
    <w:p>
      <w:pPr>
        <w:keepNext w:val="0"/>
        <w:keepLines w:val="0"/>
        <w:pageBreakBefore w:val="0"/>
        <w:numPr>
          <w:ilvl w:val="0"/>
          <w:numId w:val="0"/>
        </w:numPr>
        <w:kinsoku/>
        <w:wordWrap/>
        <w:overflowPunct/>
        <w:topLinePunct w:val="0"/>
        <w:autoSpaceDE/>
        <w:autoSpaceDN/>
        <w:bidi w:val="0"/>
        <w:adjustRightInd/>
        <w:snapToGrid w:val="0"/>
        <w:spacing w:line="570" w:lineRule="exact"/>
        <w:ind w:left="0" w:leftChars="0" w:right="0" w:firstLine="640" w:firstLineChars="200"/>
        <w:jc w:val="both"/>
        <w:rPr>
          <w:rFonts w:hint="eastAsia" w:ascii="仿宋_GB2312" w:hAnsi="仿宋_GB2312" w:eastAsia="仿宋_GB2312" w:cs="仿宋_GB2312"/>
          <w:color w:val="auto"/>
          <w:spacing w:val="0"/>
          <w:sz w:val="32"/>
          <w:szCs w:val="32"/>
          <w:lang w:val="zh-CN" w:eastAsia="zh-CN" w:bidi="zh-CN"/>
        </w:rPr>
      </w:pPr>
      <w:r>
        <w:rPr>
          <w:rFonts w:hint="eastAsia" w:ascii="Times New Roman" w:hAnsi="Times New Roman" w:eastAsia="仿宋_GB2312" w:cs="仿宋_GB2312"/>
          <w:color w:val="auto"/>
          <w:spacing w:val="0"/>
          <w:sz w:val="32"/>
          <w:szCs w:val="32"/>
          <w:lang w:val="zh-CN" w:eastAsia="zh-CN" w:bidi="zh-CN"/>
        </w:rPr>
        <w:t>⑵采用综合评估法。</w:t>
      </w:r>
      <w:r>
        <w:rPr>
          <w:rFonts w:hint="eastAsia" w:ascii="仿宋_GB2312" w:hAnsi="仿宋_GB2312" w:eastAsia="仿宋_GB2312" w:cs="仿宋_GB2312"/>
          <w:color w:val="auto"/>
          <w:spacing w:val="0"/>
          <w:sz w:val="32"/>
          <w:szCs w:val="32"/>
          <w:lang w:val="en-US" w:eastAsia="zh-CN" w:bidi="zh-CN"/>
        </w:rPr>
        <w:t>凡是</w:t>
      </w:r>
      <w:r>
        <w:rPr>
          <w:rFonts w:hint="eastAsia" w:ascii="仿宋_GB2312" w:hAnsi="仿宋_GB2312" w:eastAsia="仿宋_GB2312" w:cs="仿宋_GB2312"/>
          <w:color w:val="auto"/>
          <w:spacing w:val="0"/>
          <w:sz w:val="32"/>
          <w:szCs w:val="32"/>
          <w:lang w:val="zh-CN" w:eastAsia="zh-CN" w:bidi="zh-CN"/>
        </w:rPr>
        <w:t>施工单项合同估算价</w:t>
      </w:r>
      <w:r>
        <w:rPr>
          <w:rFonts w:hint="eastAsia" w:ascii="仿宋_GB2312" w:hAnsi="仿宋_GB2312" w:eastAsia="仿宋_GB2312" w:cs="仿宋_GB2312"/>
          <w:color w:val="auto"/>
          <w:spacing w:val="0"/>
          <w:sz w:val="32"/>
          <w:szCs w:val="32"/>
          <w:lang w:val="en-US" w:eastAsia="zh-CN" w:bidi="zh-CN"/>
        </w:rPr>
        <w:t>1000万元（不含）</w:t>
      </w:r>
      <w:r>
        <w:rPr>
          <w:rFonts w:hint="eastAsia" w:ascii="仿宋_GB2312" w:hAnsi="仿宋_GB2312" w:eastAsia="仿宋_GB2312" w:cs="仿宋_GB2312"/>
          <w:color w:val="auto"/>
          <w:spacing w:val="0"/>
          <w:sz w:val="32"/>
          <w:szCs w:val="32"/>
          <w:lang w:val="zh-CN" w:eastAsia="zh-CN" w:bidi="zh-CN"/>
        </w:rPr>
        <w:t>人民币以上、重要设备材料等货物采购单项合同估算价在</w:t>
      </w:r>
      <w:r>
        <w:rPr>
          <w:rFonts w:hint="eastAsia" w:ascii="仿宋_GB2312" w:hAnsi="仿宋_GB2312" w:eastAsia="仿宋_GB2312" w:cs="仿宋_GB2312"/>
          <w:color w:val="auto"/>
          <w:spacing w:val="0"/>
          <w:sz w:val="32"/>
          <w:szCs w:val="32"/>
          <w:lang w:val="en-US" w:eastAsia="zh-CN" w:bidi="zh-CN"/>
        </w:rPr>
        <w:t>5</w:t>
      </w:r>
      <w:r>
        <w:rPr>
          <w:rFonts w:hint="eastAsia" w:ascii="仿宋_GB2312" w:hAnsi="仿宋_GB2312" w:eastAsia="仿宋_GB2312" w:cs="仿宋_GB2312"/>
          <w:color w:val="auto"/>
          <w:spacing w:val="0"/>
          <w:sz w:val="32"/>
          <w:szCs w:val="32"/>
          <w:lang w:val="zh-CN" w:eastAsia="zh-CN" w:bidi="zh-CN"/>
        </w:rPr>
        <w:t>00万元（不含）人民币以上和勘察设计监理等服务采购单项合同估算价在</w:t>
      </w:r>
      <w:r>
        <w:rPr>
          <w:rFonts w:hint="eastAsia" w:ascii="仿宋_GB2312" w:hAnsi="仿宋_GB2312" w:eastAsia="仿宋_GB2312" w:cs="仿宋_GB2312"/>
          <w:color w:val="auto"/>
          <w:spacing w:val="0"/>
          <w:sz w:val="32"/>
          <w:szCs w:val="32"/>
          <w:lang w:val="en-US" w:eastAsia="zh-CN" w:bidi="zh-CN"/>
        </w:rPr>
        <w:t>3</w:t>
      </w:r>
      <w:r>
        <w:rPr>
          <w:rFonts w:hint="eastAsia" w:ascii="仿宋_GB2312" w:hAnsi="仿宋_GB2312" w:eastAsia="仿宋_GB2312" w:cs="仿宋_GB2312"/>
          <w:color w:val="auto"/>
          <w:spacing w:val="0"/>
          <w:sz w:val="32"/>
          <w:szCs w:val="32"/>
          <w:lang w:val="zh-CN" w:eastAsia="zh-CN" w:bidi="zh-CN"/>
        </w:rPr>
        <w:t>00万元（不含）人民币以上的工程建设项目，实行综合评估法。</w:t>
      </w:r>
    </w:p>
    <w:p>
      <w:pPr>
        <w:keepNext w:val="0"/>
        <w:keepLines w:val="0"/>
        <w:pageBreakBefore w:val="0"/>
        <w:numPr>
          <w:ilvl w:val="0"/>
          <w:numId w:val="0"/>
        </w:numPr>
        <w:kinsoku/>
        <w:wordWrap/>
        <w:overflowPunct/>
        <w:topLinePunct w:val="0"/>
        <w:autoSpaceDE/>
        <w:autoSpaceDN/>
        <w:bidi w:val="0"/>
        <w:adjustRightInd/>
        <w:snapToGrid w:val="0"/>
        <w:spacing w:line="570" w:lineRule="exact"/>
        <w:ind w:left="0" w:leftChars="0" w:right="0" w:firstLine="643" w:firstLineChars="200"/>
        <w:jc w:val="both"/>
        <w:rPr>
          <w:rFonts w:hint="eastAsia" w:ascii="仿宋_GB2312" w:hAnsi="仿宋_GB2312" w:eastAsia="仿宋_GB2312" w:cs="仿宋_GB2312"/>
          <w:color w:val="auto"/>
          <w:spacing w:val="0"/>
          <w:sz w:val="32"/>
          <w:szCs w:val="32"/>
          <w:lang w:val="en-US"/>
        </w:rPr>
      </w:pPr>
      <w:r>
        <w:rPr>
          <w:rFonts w:hint="eastAsia" w:ascii="仿宋_GB2312" w:hAnsi="仿宋_GB2312" w:eastAsia="仿宋_GB2312" w:cs="仿宋_GB2312"/>
          <w:b/>
          <w:bCs/>
          <w:color w:val="auto"/>
          <w:spacing w:val="0"/>
          <w:sz w:val="32"/>
          <w:szCs w:val="32"/>
          <w:lang w:val="en-US" w:eastAsia="zh-CN"/>
        </w:rPr>
        <w:t>2.明确几种特殊情况的招（定）标方式。</w:t>
      </w:r>
      <w:r>
        <w:rPr>
          <w:rFonts w:hint="eastAsia" w:ascii="仿宋_GB2312" w:hAnsi="仿宋_GB2312" w:eastAsia="仿宋_GB2312" w:cs="仿宋_GB2312"/>
          <w:color w:val="auto"/>
          <w:spacing w:val="0"/>
          <w:sz w:val="32"/>
          <w:szCs w:val="32"/>
          <w:lang w:val="en-US"/>
        </w:rPr>
        <w:t>（</w:t>
      </w:r>
      <w:r>
        <w:rPr>
          <w:rFonts w:hint="eastAsia" w:ascii="仿宋_GB2312" w:hAnsi="仿宋_GB2312" w:eastAsia="仿宋_GB2312" w:cs="仿宋_GB2312"/>
          <w:color w:val="auto"/>
          <w:spacing w:val="0"/>
          <w:sz w:val="32"/>
          <w:szCs w:val="32"/>
        </w:rPr>
        <w:t>牵头单位：</w:t>
      </w:r>
      <w:r>
        <w:rPr>
          <w:rFonts w:hint="eastAsia" w:ascii="仿宋_GB2312" w:hAnsi="仿宋_GB2312" w:eastAsia="仿宋_GB2312" w:cs="仿宋_GB2312"/>
          <w:color w:val="auto"/>
          <w:spacing w:val="0"/>
          <w:sz w:val="32"/>
          <w:szCs w:val="32"/>
          <w:lang w:eastAsia="zh-CN"/>
        </w:rPr>
        <w:t>发改局、</w:t>
      </w:r>
      <w:r>
        <w:rPr>
          <w:rFonts w:hint="eastAsia" w:ascii="仿宋_GB2312" w:hAnsi="仿宋_GB2312" w:eastAsia="仿宋_GB2312" w:cs="仿宋_GB2312"/>
          <w:color w:val="auto"/>
          <w:spacing w:val="0"/>
          <w:sz w:val="32"/>
          <w:szCs w:val="32"/>
          <w:lang w:val="en-US" w:eastAsia="zh-CN"/>
        </w:rPr>
        <w:t>县政务局、</w:t>
      </w:r>
      <w:r>
        <w:rPr>
          <w:rFonts w:hint="eastAsia" w:ascii="仿宋_GB2312" w:hAnsi="仿宋_GB2312" w:eastAsia="仿宋_GB2312" w:cs="仿宋_GB2312"/>
          <w:color w:val="auto"/>
          <w:spacing w:val="0"/>
          <w:sz w:val="32"/>
          <w:szCs w:val="32"/>
          <w:lang w:val="en-US"/>
        </w:rPr>
        <w:t>县公共资源交易中心，责任单位：</w:t>
      </w:r>
      <w:r>
        <w:rPr>
          <w:rFonts w:hint="eastAsia" w:ascii="仿宋_GB2312" w:hAnsi="仿宋_GB2312" w:eastAsia="仿宋_GB2312" w:cs="仿宋_GB2312"/>
          <w:color w:val="auto"/>
          <w:spacing w:val="0"/>
          <w:sz w:val="32"/>
          <w:szCs w:val="32"/>
          <w:lang w:val="en-US" w:eastAsia="zh-CN"/>
        </w:rPr>
        <w:t>各乡镇人民政府、县直相关单位</w:t>
      </w:r>
      <w:r>
        <w:rPr>
          <w:rFonts w:hint="eastAsia" w:ascii="仿宋_GB2312" w:hAnsi="仿宋_GB2312" w:eastAsia="仿宋_GB2312" w:cs="仿宋_GB2312"/>
          <w:color w:val="auto"/>
          <w:spacing w:val="0"/>
          <w:sz w:val="32"/>
          <w:szCs w:val="32"/>
          <w:lang w:val="en-US"/>
        </w:rPr>
        <w:t>；完成时限：2020年</w:t>
      </w:r>
      <w:r>
        <w:rPr>
          <w:rFonts w:hint="eastAsia" w:ascii="仿宋_GB2312" w:hAnsi="仿宋_GB2312" w:eastAsia="仿宋_GB2312" w:cs="仿宋_GB2312"/>
          <w:color w:val="auto"/>
          <w:spacing w:val="0"/>
          <w:sz w:val="32"/>
          <w:szCs w:val="32"/>
          <w:lang w:val="en-US" w:eastAsia="zh-CN"/>
        </w:rPr>
        <w:t>12</w:t>
      </w:r>
      <w:r>
        <w:rPr>
          <w:rFonts w:hint="eastAsia" w:ascii="仿宋_GB2312" w:hAnsi="仿宋_GB2312" w:eastAsia="仿宋_GB2312" w:cs="仿宋_GB2312"/>
          <w:color w:val="auto"/>
          <w:spacing w:val="0"/>
          <w:sz w:val="32"/>
          <w:szCs w:val="32"/>
          <w:lang w:val="en-US"/>
        </w:rPr>
        <w:t>月底）</w:t>
      </w:r>
    </w:p>
    <w:p>
      <w:pPr>
        <w:keepNext w:val="0"/>
        <w:keepLines w:val="0"/>
        <w:pageBreakBefore w:val="0"/>
        <w:numPr>
          <w:ilvl w:val="0"/>
          <w:numId w:val="0"/>
        </w:numPr>
        <w:kinsoku/>
        <w:wordWrap/>
        <w:overflowPunct/>
        <w:topLinePunct w:val="0"/>
        <w:autoSpaceDE/>
        <w:autoSpaceDN/>
        <w:bidi w:val="0"/>
        <w:adjustRightInd/>
        <w:snapToGrid w:val="0"/>
        <w:spacing w:line="570" w:lineRule="exact"/>
        <w:ind w:left="0" w:leftChars="0" w:right="0" w:firstLine="640" w:firstLineChars="200"/>
        <w:jc w:val="both"/>
        <w:rPr>
          <w:rFonts w:hint="eastAsia" w:ascii="仿宋_GB2312" w:hAnsi="仿宋_GB2312" w:eastAsia="仿宋_GB2312" w:cs="仿宋_GB2312"/>
          <w:color w:val="auto"/>
          <w:spacing w:val="0"/>
          <w:sz w:val="32"/>
          <w:szCs w:val="32"/>
          <w:lang w:val="zh-CN" w:eastAsia="zh-CN" w:bidi="zh-CN"/>
        </w:rPr>
      </w:pPr>
      <w:r>
        <w:rPr>
          <w:rFonts w:hint="eastAsia" w:ascii="仿宋_GB2312" w:hAnsi="仿宋_GB2312" w:eastAsia="仿宋_GB2312" w:cs="仿宋_GB2312"/>
          <w:color w:val="auto"/>
          <w:spacing w:val="0"/>
          <w:sz w:val="32"/>
          <w:szCs w:val="32"/>
          <w:shd w:val="clear" w:color="auto" w:fill="auto"/>
          <w:lang w:val="en-US" w:eastAsia="zh-CN"/>
        </w:rPr>
        <w:t>⑴</w:t>
      </w:r>
      <w:r>
        <w:rPr>
          <w:rFonts w:hint="eastAsia" w:ascii="仿宋_GB2312" w:hAnsi="仿宋_GB2312" w:eastAsia="仿宋_GB2312" w:cs="仿宋_GB2312"/>
          <w:color w:val="auto"/>
          <w:spacing w:val="0"/>
          <w:sz w:val="32"/>
          <w:szCs w:val="32"/>
          <w:lang w:val="zh-CN" w:eastAsia="zh-CN" w:bidi="zh-CN"/>
        </w:rPr>
        <w:t>实行民间投资工程由建设单位自主决定发包方式。</w:t>
      </w:r>
    </w:p>
    <w:p>
      <w:pPr>
        <w:keepNext w:val="0"/>
        <w:keepLines w:val="0"/>
        <w:pageBreakBefore w:val="0"/>
        <w:numPr>
          <w:ilvl w:val="0"/>
          <w:numId w:val="0"/>
        </w:numPr>
        <w:kinsoku/>
        <w:wordWrap/>
        <w:overflowPunct/>
        <w:topLinePunct w:val="0"/>
        <w:autoSpaceDE/>
        <w:autoSpaceDN/>
        <w:bidi w:val="0"/>
        <w:adjustRightInd/>
        <w:snapToGrid w:val="0"/>
        <w:spacing w:line="570" w:lineRule="exact"/>
        <w:ind w:left="0" w:leftChars="0" w:right="0" w:firstLine="640" w:firstLineChars="200"/>
        <w:jc w:val="both"/>
        <w:rPr>
          <w:rFonts w:hint="eastAsia" w:ascii="仿宋_GB2312" w:hAnsi="仿宋_GB2312" w:eastAsia="仿宋_GB2312" w:cs="仿宋_GB2312"/>
          <w:color w:val="auto"/>
          <w:spacing w:val="0"/>
          <w:sz w:val="32"/>
          <w:szCs w:val="32"/>
          <w:lang w:val="zh-CN" w:eastAsia="zh-CN" w:bidi="zh-CN"/>
        </w:rPr>
      </w:pPr>
      <w:r>
        <w:rPr>
          <w:rFonts w:hint="eastAsia" w:ascii="仿宋_GB2312" w:hAnsi="仿宋_GB2312" w:eastAsia="仿宋_GB2312" w:cs="仿宋_GB2312"/>
          <w:color w:val="auto"/>
          <w:spacing w:val="0"/>
          <w:sz w:val="32"/>
          <w:szCs w:val="32"/>
          <w:lang w:val="zh-CN" w:eastAsia="zh-CN" w:bidi="zh-CN"/>
        </w:rPr>
        <w:t>⑵对采用PPP模式的建设项目，通过招标方式选定合作方，但合作方自身不能依法实施建设的，应当依法招标。</w:t>
      </w:r>
    </w:p>
    <w:p>
      <w:pPr>
        <w:keepNext w:val="0"/>
        <w:keepLines w:val="0"/>
        <w:pageBreakBefore w:val="0"/>
        <w:numPr>
          <w:ilvl w:val="0"/>
          <w:numId w:val="0"/>
        </w:numPr>
        <w:kinsoku/>
        <w:wordWrap/>
        <w:overflowPunct/>
        <w:topLinePunct w:val="0"/>
        <w:autoSpaceDE/>
        <w:autoSpaceDN/>
        <w:bidi w:val="0"/>
        <w:adjustRightInd/>
        <w:snapToGrid w:val="0"/>
        <w:spacing w:line="570" w:lineRule="exact"/>
        <w:ind w:left="0" w:leftChars="0" w:right="0" w:firstLine="640" w:firstLineChars="200"/>
        <w:jc w:val="both"/>
        <w:rPr>
          <w:rFonts w:hint="eastAsia" w:ascii="仿宋_GB2312" w:hAnsi="仿宋_GB2312" w:eastAsia="仿宋_GB2312" w:cs="仿宋_GB2312"/>
          <w:color w:val="auto"/>
          <w:spacing w:val="0"/>
          <w:sz w:val="32"/>
          <w:szCs w:val="32"/>
          <w:lang w:val="zh-CN" w:eastAsia="zh-CN" w:bidi="zh-CN"/>
        </w:rPr>
      </w:pPr>
      <w:r>
        <w:rPr>
          <w:rFonts w:hint="eastAsia" w:ascii="仿宋_GB2312" w:hAnsi="仿宋_GB2312" w:eastAsia="仿宋_GB2312" w:cs="仿宋_GB2312"/>
          <w:color w:val="auto"/>
          <w:spacing w:val="0"/>
          <w:sz w:val="32"/>
          <w:szCs w:val="32"/>
          <w:lang w:val="zh-CN" w:eastAsia="zh-CN" w:bidi="zh-CN"/>
        </w:rPr>
        <w:t>⑶改革依法必须招标项目在招标失败后的发包方式。必须招标的工程建设项目首次招标失败后，招标人应分析原因采取措施再进行重新招标；重新招标投标人仍少于3个的，可以宣布招标失败也可以继续开标、评标、确定中标人。宣布招标失败的项目，在不改变招标文件实质性要求前提下，招标人可以直接发包报行业主管部门备案。</w:t>
      </w:r>
    </w:p>
    <w:p>
      <w:pPr>
        <w:pStyle w:val="2"/>
        <w:ind w:left="0" w:leftChars="0" w:firstLine="0" w:firstLineChars="0"/>
        <w:rPr>
          <w:rFonts w:hint="default"/>
          <w:lang w:val="en-US"/>
        </w:rPr>
      </w:pPr>
      <w:r>
        <w:rPr>
          <w:rFonts w:hint="eastAsia" w:ascii="仿宋_GB2312" w:hAnsi="仿宋_GB2312" w:eastAsia="仿宋_GB2312" w:cs="仿宋_GB2312"/>
          <w:color w:val="auto"/>
          <w:spacing w:val="0"/>
          <w:sz w:val="32"/>
          <w:szCs w:val="32"/>
          <w:lang w:val="en-US" w:eastAsia="zh-CN" w:bidi="zh-CN"/>
        </w:rPr>
        <w:t xml:space="preserve">    （4）提倡实行全过程咨询服务和工程总承包方式招标。</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sz w:val="32"/>
          <w:szCs w:val="32"/>
          <w:lang w:val="en-US" w:eastAsia="zh-CN"/>
        </w:rPr>
        <w:t>3.探索招投标实行“评定分离”制度。</w:t>
      </w:r>
      <w:r>
        <w:rPr>
          <w:rFonts w:hint="eastAsia" w:ascii="仿宋_GB2312" w:hAnsi="仿宋_GB2312" w:eastAsia="仿宋_GB2312" w:cs="仿宋_GB2312"/>
          <w:color w:val="auto"/>
          <w:spacing w:val="0"/>
          <w:sz w:val="32"/>
          <w:szCs w:val="32"/>
          <w:shd w:val="clear" w:color="auto" w:fill="auto"/>
          <w:lang w:val="en-US"/>
        </w:rPr>
        <w:t>（</w:t>
      </w:r>
      <w:r>
        <w:rPr>
          <w:rFonts w:hint="eastAsia" w:ascii="仿宋_GB2312" w:hAnsi="仿宋_GB2312" w:eastAsia="仿宋_GB2312" w:cs="仿宋_GB2312"/>
          <w:color w:val="auto"/>
          <w:spacing w:val="0"/>
          <w:sz w:val="32"/>
          <w:szCs w:val="32"/>
          <w:shd w:val="clear" w:color="auto" w:fill="auto"/>
        </w:rPr>
        <w:t>牵头单位：</w:t>
      </w:r>
      <w:r>
        <w:rPr>
          <w:rFonts w:hint="eastAsia" w:ascii="仿宋_GB2312" w:hAnsi="仿宋_GB2312" w:eastAsia="仿宋_GB2312" w:cs="仿宋_GB2312"/>
          <w:color w:val="auto"/>
          <w:spacing w:val="0"/>
          <w:sz w:val="32"/>
          <w:szCs w:val="32"/>
          <w:shd w:val="clear" w:color="auto" w:fill="auto"/>
          <w:lang w:eastAsia="zh-CN"/>
        </w:rPr>
        <w:t>各招标人、县住建局；</w:t>
      </w:r>
      <w:r>
        <w:rPr>
          <w:rFonts w:hint="eastAsia" w:ascii="仿宋_GB2312" w:hAnsi="仿宋_GB2312" w:eastAsia="仿宋_GB2312" w:cs="仿宋_GB2312"/>
          <w:color w:val="auto"/>
          <w:spacing w:val="0"/>
          <w:sz w:val="32"/>
          <w:szCs w:val="32"/>
          <w:shd w:val="clear" w:color="auto" w:fill="auto"/>
          <w:lang w:val="en-US"/>
        </w:rPr>
        <w:t>责任单位：县公共资源交易中心，</w:t>
      </w:r>
      <w:r>
        <w:rPr>
          <w:rFonts w:hint="eastAsia" w:ascii="仿宋_GB2312" w:hAnsi="仿宋_GB2312" w:eastAsia="仿宋_GB2312" w:cs="仿宋_GB2312"/>
          <w:color w:val="auto"/>
          <w:spacing w:val="0"/>
          <w:sz w:val="32"/>
          <w:szCs w:val="32"/>
          <w:shd w:val="clear" w:color="auto" w:fill="auto"/>
          <w:lang w:val="en-US" w:eastAsia="zh-CN"/>
        </w:rPr>
        <w:t>县政务局</w:t>
      </w:r>
      <w:r>
        <w:rPr>
          <w:rFonts w:hint="eastAsia" w:ascii="仿宋_GB2312" w:hAnsi="仿宋_GB2312" w:eastAsia="仿宋_GB2312" w:cs="仿宋_GB2312"/>
          <w:color w:val="auto"/>
          <w:spacing w:val="0"/>
          <w:sz w:val="32"/>
          <w:szCs w:val="32"/>
          <w:shd w:val="clear" w:color="auto" w:fill="auto"/>
          <w:lang w:val="en-US"/>
        </w:rPr>
        <w:t>；完成时限：2020年</w:t>
      </w:r>
      <w:r>
        <w:rPr>
          <w:rFonts w:hint="eastAsia" w:ascii="仿宋_GB2312" w:hAnsi="仿宋_GB2312" w:eastAsia="仿宋_GB2312" w:cs="仿宋_GB2312"/>
          <w:color w:val="auto"/>
          <w:spacing w:val="0"/>
          <w:sz w:val="32"/>
          <w:szCs w:val="32"/>
          <w:shd w:val="clear" w:color="auto" w:fill="auto"/>
          <w:lang w:val="en-US" w:eastAsia="zh-CN"/>
        </w:rPr>
        <w:t>12</w:t>
      </w:r>
      <w:r>
        <w:rPr>
          <w:rFonts w:hint="eastAsia" w:ascii="仿宋_GB2312" w:hAnsi="仿宋_GB2312" w:eastAsia="仿宋_GB2312" w:cs="仿宋_GB2312"/>
          <w:color w:val="auto"/>
          <w:spacing w:val="0"/>
          <w:sz w:val="32"/>
          <w:szCs w:val="32"/>
          <w:shd w:val="clear" w:color="auto" w:fill="auto"/>
          <w:lang w:val="en-US"/>
        </w:rPr>
        <w:t>月底）</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color w:val="auto"/>
          <w:spacing w:val="0"/>
          <w:sz w:val="32"/>
          <w:szCs w:val="32"/>
          <w:shd w:val="clear" w:color="auto" w:fill="auto"/>
          <w:lang w:val="en-US" w:eastAsia="zh-CN"/>
        </w:rPr>
        <w:t>在1000万元以内的房建市政项目中选择1-2个项目进行</w:t>
      </w:r>
      <w:r>
        <w:rPr>
          <w:rFonts w:hint="eastAsia" w:ascii="仿宋_GB2312" w:hAnsi="仿宋_GB2312" w:eastAsia="仿宋_GB2312" w:cs="仿宋_GB2312"/>
          <w:color w:val="auto"/>
          <w:spacing w:val="0"/>
          <w:sz w:val="32"/>
          <w:szCs w:val="32"/>
          <w:shd w:val="clear" w:color="auto" w:fill="auto"/>
          <w:lang w:eastAsia="zh-CN"/>
        </w:rPr>
        <w:t>评定分离试点，在总结试点经验的基础上再视情况推行。评标委员会只向中标人推荐</w:t>
      </w:r>
      <w:r>
        <w:rPr>
          <w:rFonts w:hint="eastAsia" w:ascii="仿宋_GB2312" w:hAnsi="仿宋_GB2312" w:eastAsia="仿宋_GB2312" w:cs="仿宋_GB2312"/>
          <w:color w:val="auto"/>
          <w:spacing w:val="0"/>
          <w:sz w:val="32"/>
          <w:szCs w:val="32"/>
          <w:shd w:val="clear" w:color="auto" w:fill="auto"/>
          <w:lang w:val="en-US" w:eastAsia="zh-CN"/>
        </w:rPr>
        <w:t>3个合格候选人并提供评标报告，</w:t>
      </w:r>
      <w:r>
        <w:rPr>
          <w:rFonts w:hint="eastAsia" w:ascii="仿宋_GB2312" w:hAnsi="仿宋_GB2312" w:eastAsia="仿宋_GB2312" w:cs="仿宋_GB2312"/>
          <w:color w:val="auto"/>
          <w:spacing w:val="0"/>
          <w:sz w:val="32"/>
          <w:szCs w:val="32"/>
          <w:shd w:val="clear" w:color="auto" w:fill="auto"/>
          <w:lang w:eastAsia="zh-CN"/>
        </w:rPr>
        <w:t>招标人对评标专家委员会提供评标报告作为定标的参考，根据《宣恩县建设工程招投标评定分离定标工作指导（试行）规则》，通过“优中汰劣、劣中选优”来确定中标人。</w:t>
      </w:r>
      <w:bookmarkStart w:id="0" w:name="_GoBack"/>
      <w:bookmarkEnd w:id="0"/>
    </w:p>
    <w:p>
      <w:pPr>
        <w:keepNext w:val="0"/>
        <w:keepLines w:val="0"/>
        <w:pageBreakBefore w:val="0"/>
        <w:numPr>
          <w:ilvl w:val="0"/>
          <w:numId w:val="0"/>
        </w:numPr>
        <w:kinsoku/>
        <w:wordWrap/>
        <w:overflowPunct/>
        <w:topLinePunct w:val="0"/>
        <w:autoSpaceDE/>
        <w:autoSpaceDN/>
        <w:bidi w:val="0"/>
        <w:adjustRightInd/>
        <w:snapToGrid w:val="0"/>
        <w:spacing w:line="570" w:lineRule="exact"/>
        <w:ind w:right="0" w:rightChars="0" w:firstLine="643" w:firstLineChars="200"/>
        <w:jc w:val="both"/>
        <w:rPr>
          <w:rFonts w:hint="eastAsia" w:ascii="仿宋_GB2312" w:hAnsi="仿宋_GB2312" w:eastAsia="仿宋_GB2312" w:cs="仿宋_GB2312"/>
          <w:color w:val="auto"/>
          <w:spacing w:val="0"/>
          <w:sz w:val="32"/>
          <w:szCs w:val="32"/>
          <w:lang w:val="en-US"/>
        </w:rPr>
      </w:pPr>
      <w:r>
        <w:rPr>
          <w:rFonts w:hint="eastAsia" w:ascii="仿宋_GB2312" w:hAnsi="仿宋_GB2312" w:eastAsia="仿宋_GB2312" w:cs="仿宋_GB2312"/>
          <w:b/>
          <w:bCs/>
          <w:color w:val="auto"/>
          <w:spacing w:val="0"/>
          <w:sz w:val="32"/>
          <w:szCs w:val="32"/>
          <w:lang w:val="en-US" w:eastAsia="zh-CN"/>
        </w:rPr>
        <w:t>4.规范政府投资重大工程建设项目资格预审。</w:t>
      </w:r>
      <w:r>
        <w:rPr>
          <w:rFonts w:hint="eastAsia" w:ascii="仿宋_GB2312" w:hAnsi="仿宋_GB2312" w:eastAsia="仿宋_GB2312" w:cs="仿宋_GB2312"/>
          <w:color w:val="auto"/>
          <w:spacing w:val="0"/>
          <w:sz w:val="32"/>
          <w:szCs w:val="32"/>
        </w:rPr>
        <w:t>（牵头单位：县住建局等行业主管部门</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责任单位：县发改局、</w:t>
      </w:r>
      <w:r>
        <w:rPr>
          <w:rFonts w:hint="eastAsia" w:ascii="仿宋_GB2312" w:hAnsi="仿宋_GB2312" w:eastAsia="仿宋_GB2312" w:cs="仿宋_GB2312"/>
          <w:color w:val="auto"/>
          <w:spacing w:val="0"/>
          <w:sz w:val="32"/>
          <w:szCs w:val="32"/>
          <w:lang w:val="en-US"/>
        </w:rPr>
        <w:t>县</w:t>
      </w:r>
      <w:r>
        <w:rPr>
          <w:rFonts w:hint="eastAsia" w:ascii="仿宋_GB2312" w:hAnsi="仿宋_GB2312" w:eastAsia="仿宋_GB2312" w:cs="仿宋_GB2312"/>
          <w:color w:val="auto"/>
          <w:spacing w:val="0"/>
          <w:sz w:val="32"/>
          <w:szCs w:val="32"/>
        </w:rPr>
        <w:t>政务局、</w:t>
      </w:r>
      <w:r>
        <w:rPr>
          <w:rFonts w:hint="eastAsia" w:ascii="仿宋_GB2312" w:hAnsi="仿宋_GB2312" w:eastAsia="仿宋_GB2312" w:cs="仿宋_GB2312"/>
          <w:color w:val="auto"/>
          <w:spacing w:val="0"/>
          <w:sz w:val="32"/>
          <w:szCs w:val="32"/>
          <w:lang w:val="en-US"/>
        </w:rPr>
        <w:t>县</w:t>
      </w:r>
      <w:r>
        <w:rPr>
          <w:rFonts w:hint="eastAsia" w:ascii="仿宋_GB2312" w:hAnsi="仿宋_GB2312" w:eastAsia="仿宋_GB2312" w:cs="仿宋_GB2312"/>
          <w:color w:val="auto"/>
          <w:spacing w:val="0"/>
          <w:sz w:val="32"/>
          <w:szCs w:val="32"/>
        </w:rPr>
        <w:t>公共资源交易中心、</w:t>
      </w:r>
      <w:r>
        <w:rPr>
          <w:rFonts w:hint="eastAsia" w:ascii="仿宋_GB2312" w:hAnsi="仿宋_GB2312" w:eastAsia="仿宋_GB2312" w:cs="仿宋_GB2312"/>
          <w:color w:val="auto"/>
          <w:spacing w:val="0"/>
          <w:sz w:val="32"/>
          <w:szCs w:val="32"/>
          <w:lang w:val="en-US"/>
        </w:rPr>
        <w:t>县公共资源交易管理委员会</w:t>
      </w:r>
      <w:r>
        <w:rPr>
          <w:rFonts w:hint="eastAsia" w:ascii="仿宋_GB2312" w:hAnsi="仿宋_GB2312" w:eastAsia="仿宋_GB2312" w:cs="仿宋_GB2312"/>
          <w:color w:val="auto"/>
          <w:spacing w:val="0"/>
          <w:sz w:val="32"/>
          <w:szCs w:val="32"/>
          <w:lang w:val="en-US" w:eastAsia="zh-CN"/>
        </w:rPr>
        <w:t>其他</w:t>
      </w:r>
      <w:r>
        <w:rPr>
          <w:rFonts w:hint="eastAsia" w:ascii="仿宋_GB2312" w:hAnsi="仿宋_GB2312" w:eastAsia="仿宋_GB2312" w:cs="仿宋_GB2312"/>
          <w:color w:val="auto"/>
          <w:spacing w:val="0"/>
          <w:sz w:val="32"/>
          <w:szCs w:val="32"/>
          <w:lang w:val="en-US"/>
        </w:rPr>
        <w:t>成员单位</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val="en-US"/>
        </w:rPr>
        <w:t>完成时限：2020年1</w:t>
      </w:r>
      <w:r>
        <w:rPr>
          <w:rFonts w:hint="eastAsia" w:ascii="仿宋_GB2312" w:hAnsi="仿宋_GB2312" w:eastAsia="仿宋_GB2312" w:cs="仿宋_GB2312"/>
          <w:color w:val="auto"/>
          <w:spacing w:val="0"/>
          <w:sz w:val="32"/>
          <w:szCs w:val="32"/>
          <w:lang w:val="en-US" w:eastAsia="zh-CN"/>
        </w:rPr>
        <w:t>2</w:t>
      </w:r>
      <w:r>
        <w:rPr>
          <w:rFonts w:hint="eastAsia" w:ascii="仿宋_GB2312" w:hAnsi="仿宋_GB2312" w:eastAsia="仿宋_GB2312" w:cs="仿宋_GB2312"/>
          <w:color w:val="auto"/>
          <w:spacing w:val="0"/>
          <w:sz w:val="32"/>
          <w:szCs w:val="32"/>
          <w:lang w:val="en-US"/>
        </w:rPr>
        <w:t>月底，并长期坚持）</w:t>
      </w:r>
    </w:p>
    <w:p>
      <w:pPr>
        <w:keepNext w:val="0"/>
        <w:keepLines w:val="0"/>
        <w:pageBreakBefore w:val="0"/>
        <w:numPr>
          <w:ilvl w:val="0"/>
          <w:numId w:val="0"/>
        </w:numPr>
        <w:kinsoku/>
        <w:wordWrap/>
        <w:overflowPunct/>
        <w:topLinePunct w:val="0"/>
        <w:autoSpaceDE/>
        <w:autoSpaceDN/>
        <w:bidi w:val="0"/>
        <w:adjustRightInd/>
        <w:snapToGrid w:val="0"/>
        <w:spacing w:line="570" w:lineRule="exact"/>
        <w:ind w:right="0" w:rightChars="0" w:firstLine="640" w:firstLineChars="200"/>
        <w:jc w:val="both"/>
        <w:rPr>
          <w:rFonts w:hint="eastAsia" w:ascii="仿宋_GB2312" w:hAnsi="仿宋_GB2312" w:eastAsia="仿宋_GB2312" w:cs="仿宋_GB2312"/>
          <w:color w:val="auto"/>
          <w:spacing w:val="0"/>
          <w:sz w:val="32"/>
          <w:szCs w:val="32"/>
          <w:lang w:val="en-US"/>
        </w:rPr>
      </w:pPr>
      <w:r>
        <w:rPr>
          <w:rFonts w:hint="eastAsia" w:ascii="仿宋_GB2312" w:hAnsi="仿宋_GB2312" w:eastAsia="仿宋_GB2312" w:cs="仿宋_GB2312"/>
          <w:color w:val="auto"/>
          <w:spacing w:val="0"/>
          <w:sz w:val="32"/>
          <w:szCs w:val="32"/>
          <w:lang w:eastAsia="zh-CN"/>
        </w:rPr>
        <w:t>我县</w:t>
      </w:r>
      <w:r>
        <w:rPr>
          <w:rFonts w:hint="eastAsia" w:ascii="仿宋_GB2312" w:hAnsi="仿宋_GB2312" w:eastAsia="仿宋_GB2312" w:cs="仿宋_GB2312"/>
          <w:color w:val="auto"/>
          <w:spacing w:val="0"/>
          <w:sz w:val="32"/>
          <w:szCs w:val="32"/>
        </w:rPr>
        <w:t>政府投资工程建设项目投资额</w:t>
      </w:r>
      <w:r>
        <w:rPr>
          <w:rFonts w:hint="eastAsia" w:ascii="仿宋_GB2312" w:hAnsi="仿宋_GB2312" w:eastAsia="仿宋_GB2312" w:cs="仿宋_GB2312"/>
          <w:color w:val="auto"/>
          <w:spacing w:val="0"/>
          <w:sz w:val="32"/>
          <w:szCs w:val="32"/>
          <w:lang w:val="en-US" w:eastAsia="zh-CN"/>
        </w:rPr>
        <w:t>1</w:t>
      </w:r>
      <w:r>
        <w:rPr>
          <w:rFonts w:hint="eastAsia" w:ascii="仿宋_GB2312" w:hAnsi="仿宋_GB2312" w:eastAsia="仿宋_GB2312" w:cs="仿宋_GB2312"/>
          <w:color w:val="auto"/>
          <w:spacing w:val="0"/>
          <w:sz w:val="32"/>
          <w:szCs w:val="32"/>
        </w:rPr>
        <w:t>000万元以上的，以及技术复杂或者具有特殊专业技术要求的项目</w:t>
      </w:r>
      <w:r>
        <w:rPr>
          <w:rFonts w:hint="eastAsia" w:ascii="仿宋_GB2312" w:hAnsi="仿宋_GB2312" w:eastAsia="仿宋_GB2312" w:cs="仿宋_GB2312"/>
          <w:color w:val="auto"/>
          <w:spacing w:val="0"/>
          <w:sz w:val="32"/>
          <w:szCs w:val="32"/>
          <w:lang w:eastAsia="zh-CN"/>
        </w:rPr>
        <w:t>，原则上实行资格预审。项目立项后即可进行资格预审，</w:t>
      </w:r>
      <w:r>
        <w:rPr>
          <w:rFonts w:hint="eastAsia" w:ascii="仿宋_GB2312" w:hAnsi="仿宋_GB2312" w:eastAsia="仿宋_GB2312" w:cs="仿宋_GB2312"/>
          <w:color w:val="auto"/>
          <w:spacing w:val="0"/>
          <w:sz w:val="32"/>
          <w:szCs w:val="32"/>
        </w:rPr>
        <w:t>按照《宣恩县政府投资工程项目资格预审指导意见（试行）》</w:t>
      </w:r>
      <w:r>
        <w:rPr>
          <w:rFonts w:hint="eastAsia" w:ascii="仿宋_GB2312" w:hAnsi="仿宋_GB2312" w:eastAsia="仿宋_GB2312" w:cs="仿宋_GB2312"/>
          <w:color w:val="auto"/>
          <w:spacing w:val="0"/>
          <w:sz w:val="32"/>
          <w:szCs w:val="32"/>
          <w:lang w:eastAsia="zh-CN"/>
        </w:rPr>
        <w:t>执行。</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sz w:val="32"/>
          <w:szCs w:val="32"/>
          <w:lang w:val="en-US" w:eastAsia="zh-CN"/>
        </w:rPr>
        <w:t>5.全面实现公共资源交易招投标全流程电子化和远程异地评标常态化。</w:t>
      </w:r>
      <w:r>
        <w:rPr>
          <w:rFonts w:hint="eastAsia" w:ascii="仿宋_GB2312" w:hAnsi="仿宋_GB2312" w:eastAsia="仿宋_GB2312" w:cs="仿宋_GB2312"/>
          <w:color w:val="auto"/>
          <w:spacing w:val="0"/>
          <w:sz w:val="32"/>
          <w:szCs w:val="32"/>
          <w:shd w:val="clear" w:color="auto" w:fill="auto"/>
          <w:lang w:val="en-US"/>
        </w:rPr>
        <w:t>（</w:t>
      </w:r>
      <w:r>
        <w:rPr>
          <w:rFonts w:hint="eastAsia" w:ascii="仿宋_GB2312" w:hAnsi="仿宋_GB2312" w:eastAsia="仿宋_GB2312" w:cs="仿宋_GB2312"/>
          <w:color w:val="auto"/>
          <w:spacing w:val="0"/>
          <w:sz w:val="32"/>
          <w:szCs w:val="32"/>
          <w:shd w:val="clear" w:color="auto" w:fill="auto"/>
        </w:rPr>
        <w:t>牵头单位：</w:t>
      </w:r>
      <w:r>
        <w:rPr>
          <w:rFonts w:hint="eastAsia" w:ascii="仿宋_GB2312" w:hAnsi="仿宋_GB2312" w:eastAsia="仿宋_GB2312" w:cs="仿宋_GB2312"/>
          <w:color w:val="auto"/>
          <w:spacing w:val="0"/>
          <w:sz w:val="32"/>
          <w:szCs w:val="32"/>
          <w:shd w:val="clear" w:color="auto" w:fill="auto"/>
          <w:lang w:val="en-US"/>
        </w:rPr>
        <w:t>县公共资源交易中心，责任单位：县政务局、县住建局、县交通局、县水利局、县农业农村局、县自然资源规划局；完成时限：2020年1</w:t>
      </w:r>
      <w:r>
        <w:rPr>
          <w:rFonts w:hint="eastAsia" w:ascii="仿宋_GB2312" w:hAnsi="仿宋_GB2312" w:eastAsia="仿宋_GB2312" w:cs="仿宋_GB2312"/>
          <w:color w:val="auto"/>
          <w:spacing w:val="0"/>
          <w:sz w:val="32"/>
          <w:szCs w:val="32"/>
          <w:shd w:val="clear" w:color="auto" w:fill="auto"/>
          <w:lang w:val="en-US" w:eastAsia="zh-CN"/>
        </w:rPr>
        <w:t>2</w:t>
      </w:r>
      <w:r>
        <w:rPr>
          <w:rFonts w:hint="eastAsia" w:ascii="仿宋_GB2312" w:hAnsi="仿宋_GB2312" w:eastAsia="仿宋_GB2312" w:cs="仿宋_GB2312"/>
          <w:color w:val="auto"/>
          <w:spacing w:val="0"/>
          <w:sz w:val="32"/>
          <w:szCs w:val="32"/>
          <w:shd w:val="clear" w:color="auto" w:fill="auto"/>
          <w:lang w:val="en-US"/>
        </w:rPr>
        <w:t>月底，并长期坚持）</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rPr>
        <w:t>按照</w:t>
      </w:r>
      <w:r>
        <w:rPr>
          <w:rFonts w:hint="eastAsia" w:ascii="仿宋_GB2312" w:hAnsi="仿宋_GB2312" w:eastAsia="仿宋_GB2312" w:cs="仿宋_GB2312"/>
          <w:color w:val="auto"/>
          <w:spacing w:val="0"/>
          <w:sz w:val="32"/>
          <w:szCs w:val="32"/>
          <w:shd w:val="clear" w:color="auto" w:fill="auto"/>
          <w:lang w:eastAsia="zh-CN"/>
        </w:rPr>
        <w:t>县公共资源交易管理委员会《关于进一步加强公共资源招投标监管工作的通知》（宣公管委</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shd w:val="clear" w:color="auto" w:fill="auto"/>
          <w:lang w:val="en-US" w:eastAsia="zh-CN"/>
        </w:rPr>
        <w:t>2020</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shd w:val="clear" w:color="auto" w:fill="auto"/>
          <w:lang w:val="en-US" w:eastAsia="zh-CN"/>
        </w:rPr>
        <w:t>4号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eastAsia="zh-CN"/>
        </w:rPr>
        <w:t>全面实现</w:t>
      </w:r>
      <w:r>
        <w:rPr>
          <w:rFonts w:hint="eastAsia" w:ascii="仿宋_GB2312" w:hAnsi="仿宋_GB2312" w:eastAsia="仿宋_GB2312" w:cs="仿宋_GB2312"/>
          <w:color w:val="auto"/>
          <w:spacing w:val="0"/>
          <w:sz w:val="32"/>
          <w:szCs w:val="32"/>
          <w:shd w:val="clear" w:color="auto" w:fill="auto"/>
        </w:rPr>
        <w:t>宣恩县公共资源交易全流程电子化</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lang w:val="en-US" w:eastAsia="zh-CN"/>
        </w:rPr>
        <w:t>争取省州支持</w:t>
      </w:r>
      <w:r>
        <w:rPr>
          <w:rFonts w:hint="eastAsia" w:ascii="仿宋_GB2312" w:hAnsi="仿宋_GB2312" w:eastAsia="仿宋_GB2312" w:cs="仿宋_GB2312"/>
          <w:color w:val="auto"/>
          <w:spacing w:val="0"/>
          <w:sz w:val="32"/>
          <w:szCs w:val="32"/>
          <w:shd w:val="clear" w:color="auto" w:fill="auto"/>
        </w:rPr>
        <w:t>积极推行远程异地评标走向常态化，</w:t>
      </w:r>
      <w:r>
        <w:rPr>
          <w:rFonts w:hint="eastAsia" w:ascii="仿宋_GB2312" w:hAnsi="仿宋_GB2312" w:eastAsia="仿宋_GB2312" w:cs="仿宋_GB2312"/>
          <w:color w:val="auto"/>
          <w:spacing w:val="0"/>
          <w:sz w:val="32"/>
          <w:szCs w:val="32"/>
          <w:shd w:val="clear" w:color="auto" w:fill="auto"/>
          <w:lang w:val="en-US"/>
        </w:rPr>
        <w:t>依法必须招标的项目100%在线招标、投标、开标、评标。</w:t>
      </w:r>
      <w:r>
        <w:rPr>
          <w:rFonts w:hint="eastAsia" w:ascii="仿宋_GB2312" w:hAnsi="仿宋_GB2312" w:eastAsia="仿宋_GB2312" w:cs="仿宋_GB2312"/>
          <w:color w:val="auto"/>
          <w:spacing w:val="0"/>
          <w:sz w:val="32"/>
          <w:szCs w:val="32"/>
          <w:shd w:val="clear" w:color="auto" w:fill="auto"/>
          <w:lang w:val="en-US" w:eastAsia="zh-CN"/>
        </w:rPr>
        <w:t>在已实现省内远程异地评标的基础上，探索推行跨省远程异地评标。</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sz w:val="32"/>
          <w:szCs w:val="32"/>
          <w:lang w:val="en-US" w:eastAsia="zh-CN"/>
        </w:rPr>
        <w:t>6.加速财政投资评审。</w:t>
      </w:r>
      <w:r>
        <w:rPr>
          <w:rFonts w:hint="eastAsia" w:ascii="Times New Roman" w:hAnsi="Times New Roman" w:eastAsia="仿宋_GB2312" w:cs="仿宋_GB2312"/>
          <w:color w:val="auto"/>
          <w:spacing w:val="0"/>
          <w:sz w:val="32"/>
          <w:szCs w:val="32"/>
          <w:shd w:val="clear" w:color="auto" w:fill="auto"/>
        </w:rPr>
        <w:t>（牵头单位：</w:t>
      </w:r>
      <w:r>
        <w:rPr>
          <w:rFonts w:hint="eastAsia" w:ascii="Times New Roman" w:hAnsi="Times New Roman" w:eastAsia="仿宋_GB2312" w:cs="仿宋_GB2312"/>
          <w:color w:val="auto"/>
          <w:spacing w:val="0"/>
          <w:sz w:val="32"/>
          <w:szCs w:val="32"/>
          <w:shd w:val="clear" w:color="auto" w:fill="auto"/>
          <w:lang w:val="en-US"/>
        </w:rPr>
        <w:t>县</w:t>
      </w:r>
      <w:r>
        <w:rPr>
          <w:rFonts w:hint="eastAsia" w:ascii="Times New Roman" w:hAnsi="Times New Roman" w:eastAsia="仿宋_GB2312" w:cs="仿宋_GB2312"/>
          <w:color w:val="auto"/>
          <w:spacing w:val="0"/>
          <w:sz w:val="32"/>
          <w:szCs w:val="32"/>
          <w:shd w:val="clear" w:color="auto" w:fill="auto"/>
        </w:rPr>
        <w:t>财政局</w:t>
      </w:r>
      <w:r>
        <w:rPr>
          <w:rFonts w:hint="eastAsia" w:ascii="Times New Roman" w:hAnsi="Times New Roman" w:eastAsia="仿宋_GB2312" w:cs="仿宋_GB2312"/>
          <w:color w:val="auto"/>
          <w:spacing w:val="0"/>
          <w:sz w:val="32"/>
          <w:szCs w:val="32"/>
          <w:shd w:val="clear" w:color="auto" w:fill="auto"/>
          <w:lang w:eastAsia="zh-CN"/>
        </w:rPr>
        <w:t>；</w:t>
      </w:r>
      <w:r>
        <w:rPr>
          <w:rFonts w:hint="eastAsia" w:ascii="Times New Roman" w:hAnsi="Times New Roman" w:eastAsia="仿宋_GB2312" w:cs="仿宋_GB2312"/>
          <w:color w:val="auto"/>
          <w:spacing w:val="0"/>
          <w:sz w:val="32"/>
          <w:szCs w:val="32"/>
          <w:shd w:val="clear" w:color="auto" w:fill="auto"/>
        </w:rPr>
        <w:t>责任单位：各乡镇</w:t>
      </w:r>
      <w:r>
        <w:rPr>
          <w:rFonts w:hint="eastAsia" w:ascii="Times New Roman" w:hAnsi="Times New Roman" w:eastAsia="仿宋_GB2312" w:cs="仿宋_GB2312"/>
          <w:color w:val="auto"/>
          <w:spacing w:val="0"/>
          <w:sz w:val="32"/>
          <w:szCs w:val="32"/>
          <w:shd w:val="clear" w:color="auto" w:fill="auto"/>
          <w:lang w:eastAsia="zh-CN"/>
        </w:rPr>
        <w:t>人民政府、</w:t>
      </w:r>
      <w:r>
        <w:rPr>
          <w:rFonts w:hint="eastAsia" w:ascii="Times New Roman" w:hAnsi="Times New Roman" w:eastAsia="仿宋_GB2312" w:cs="仿宋_GB2312"/>
          <w:color w:val="auto"/>
          <w:spacing w:val="0"/>
          <w:sz w:val="32"/>
          <w:szCs w:val="32"/>
          <w:shd w:val="clear" w:color="auto" w:fill="auto"/>
          <w:lang w:val="en-US"/>
        </w:rPr>
        <w:t>县</w:t>
      </w:r>
      <w:r>
        <w:rPr>
          <w:rFonts w:hint="eastAsia" w:ascii="Times New Roman" w:hAnsi="Times New Roman" w:eastAsia="仿宋_GB2312" w:cs="仿宋_GB2312"/>
          <w:color w:val="auto"/>
          <w:spacing w:val="0"/>
          <w:sz w:val="32"/>
          <w:szCs w:val="32"/>
          <w:shd w:val="clear" w:color="auto" w:fill="auto"/>
        </w:rPr>
        <w:t>直相关部门；</w:t>
      </w:r>
      <w:r>
        <w:rPr>
          <w:rFonts w:hint="eastAsia" w:ascii="仿宋_GB2312" w:hAnsi="仿宋_GB2312" w:eastAsia="仿宋_GB2312" w:cs="仿宋_GB2312"/>
          <w:color w:val="auto"/>
          <w:spacing w:val="0"/>
          <w:sz w:val="32"/>
          <w:szCs w:val="32"/>
          <w:shd w:val="clear" w:color="auto" w:fill="auto"/>
          <w:lang w:val="en-US"/>
        </w:rPr>
        <w:t>完成时限：2020年</w:t>
      </w:r>
      <w:r>
        <w:rPr>
          <w:rFonts w:hint="eastAsia" w:ascii="仿宋_GB2312" w:hAnsi="仿宋_GB2312" w:eastAsia="仿宋_GB2312" w:cs="仿宋_GB2312"/>
          <w:color w:val="auto"/>
          <w:spacing w:val="0"/>
          <w:sz w:val="32"/>
          <w:szCs w:val="32"/>
          <w:shd w:val="clear" w:color="auto" w:fill="auto"/>
          <w:lang w:val="en-US" w:eastAsia="zh-CN"/>
        </w:rPr>
        <w:t>12</w:t>
      </w:r>
      <w:r>
        <w:rPr>
          <w:rFonts w:hint="eastAsia" w:ascii="仿宋_GB2312" w:hAnsi="仿宋_GB2312" w:eastAsia="仿宋_GB2312" w:cs="仿宋_GB2312"/>
          <w:color w:val="auto"/>
          <w:spacing w:val="0"/>
          <w:sz w:val="32"/>
          <w:szCs w:val="32"/>
          <w:shd w:val="clear" w:color="auto" w:fill="auto"/>
          <w:lang w:val="en-US"/>
        </w:rPr>
        <w:t>月底</w:t>
      </w:r>
      <w:r>
        <w:rPr>
          <w:rFonts w:hint="eastAsia" w:ascii="仿宋_GB2312" w:hAnsi="仿宋_GB2312" w:eastAsia="仿宋_GB2312" w:cs="仿宋_GB2312"/>
          <w:color w:val="auto"/>
          <w:spacing w:val="0"/>
          <w:sz w:val="32"/>
          <w:szCs w:val="32"/>
          <w:shd w:val="clear" w:color="auto" w:fill="auto"/>
          <w:lang w:val="en-US" w:eastAsia="zh-CN"/>
        </w:rPr>
        <w:t>，并长期坚持</w:t>
      </w:r>
      <w:r>
        <w:rPr>
          <w:rFonts w:hint="eastAsia" w:ascii="仿宋_GB2312" w:hAnsi="仿宋_GB2312" w:eastAsia="仿宋_GB2312" w:cs="仿宋_GB2312"/>
          <w:color w:val="auto"/>
          <w:spacing w:val="0"/>
          <w:sz w:val="32"/>
          <w:szCs w:val="32"/>
          <w:shd w:val="clear" w:color="auto" w:fill="auto"/>
          <w:lang w:val="en-US"/>
        </w:rPr>
        <w:t>）</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 w:eastAsia="仿宋_GB2312"/>
          <w:color w:val="auto"/>
          <w:spacing w:val="0"/>
          <w:sz w:val="32"/>
          <w:szCs w:val="32"/>
          <w:shd w:val="clear" w:color="auto" w:fill="auto"/>
        </w:rPr>
      </w:pPr>
      <w:r>
        <w:rPr>
          <w:rFonts w:hint="eastAsia" w:ascii="仿宋_GB2312" w:hAnsi="仿宋" w:eastAsia="仿宋_GB2312"/>
          <w:color w:val="auto"/>
          <w:spacing w:val="0"/>
          <w:sz w:val="32"/>
          <w:szCs w:val="32"/>
          <w:shd w:val="clear" w:color="auto" w:fill="auto"/>
          <w:lang w:eastAsia="zh-CN"/>
        </w:rPr>
        <w:t>⑴随到随评</w:t>
      </w:r>
      <w:r>
        <w:rPr>
          <w:rFonts w:hint="eastAsia" w:ascii="仿宋_GB2312" w:hAnsi="仿宋" w:eastAsia="仿宋_GB2312"/>
          <w:color w:val="auto"/>
          <w:spacing w:val="0"/>
          <w:sz w:val="32"/>
          <w:szCs w:val="32"/>
          <w:shd w:val="clear" w:color="auto" w:fill="auto"/>
        </w:rPr>
        <w:t>。在</w:t>
      </w:r>
      <w:r>
        <w:rPr>
          <w:rFonts w:hint="eastAsia" w:ascii="仿宋_GB2312" w:hAnsi="仿宋" w:eastAsia="仿宋_GB2312"/>
          <w:color w:val="auto"/>
          <w:spacing w:val="0"/>
          <w:sz w:val="32"/>
          <w:szCs w:val="32"/>
          <w:shd w:val="clear" w:color="auto" w:fill="auto"/>
          <w:lang w:eastAsia="zh-CN"/>
        </w:rPr>
        <w:t>招标（</w:t>
      </w:r>
      <w:r>
        <w:rPr>
          <w:rFonts w:hint="eastAsia" w:ascii="仿宋_GB2312" w:hAnsi="仿宋" w:eastAsia="仿宋_GB2312"/>
          <w:color w:val="auto"/>
          <w:spacing w:val="0"/>
          <w:sz w:val="32"/>
          <w:szCs w:val="32"/>
          <w:shd w:val="clear" w:color="auto" w:fill="auto"/>
        </w:rPr>
        <w:t>采购</w:t>
      </w:r>
      <w:r>
        <w:rPr>
          <w:rFonts w:hint="eastAsia" w:ascii="仿宋_GB2312" w:hAnsi="仿宋" w:eastAsia="仿宋_GB2312"/>
          <w:color w:val="auto"/>
          <w:spacing w:val="0"/>
          <w:sz w:val="32"/>
          <w:szCs w:val="32"/>
          <w:shd w:val="clear" w:color="auto" w:fill="auto"/>
          <w:lang w:eastAsia="zh-CN"/>
        </w:rPr>
        <w:t>）</w:t>
      </w:r>
      <w:r>
        <w:rPr>
          <w:rFonts w:hint="eastAsia" w:ascii="仿宋_GB2312" w:hAnsi="仿宋" w:eastAsia="仿宋_GB2312"/>
          <w:color w:val="auto"/>
          <w:spacing w:val="0"/>
          <w:sz w:val="32"/>
          <w:szCs w:val="32"/>
          <w:shd w:val="clear" w:color="auto" w:fill="auto"/>
        </w:rPr>
        <w:t>人资料完整、准确的情况下，</w:t>
      </w:r>
      <w:r>
        <w:rPr>
          <w:rFonts w:hint="eastAsia" w:ascii="仿宋_GB2312" w:hAnsi="仿宋" w:eastAsia="仿宋_GB2312"/>
          <w:color w:val="auto"/>
          <w:spacing w:val="0"/>
          <w:sz w:val="32"/>
          <w:szCs w:val="32"/>
          <w:shd w:val="clear" w:color="auto" w:fill="auto"/>
          <w:lang w:eastAsia="zh-CN"/>
        </w:rPr>
        <w:t>县</w:t>
      </w:r>
      <w:r>
        <w:rPr>
          <w:rFonts w:hint="eastAsia" w:ascii="仿宋_GB2312" w:hAnsi="仿宋" w:eastAsia="仿宋_GB2312"/>
          <w:color w:val="auto"/>
          <w:spacing w:val="0"/>
          <w:sz w:val="32"/>
          <w:szCs w:val="32"/>
          <w:shd w:val="clear" w:color="auto" w:fill="auto"/>
        </w:rPr>
        <w:t>财政局收到采购人的申请后，立即推荐评审机构进行财评。</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ascii="仿宋_GB2312" w:hAnsi="仿宋_GB2312" w:eastAsia="仿宋_GB2312" w:cs="仿宋_GB2312"/>
          <w:color w:val="auto"/>
          <w:spacing w:val="0"/>
          <w:sz w:val="32"/>
          <w:szCs w:val="32"/>
          <w:shd w:val="clear" w:color="auto" w:fill="auto"/>
          <w:lang w:val="en-US"/>
        </w:rPr>
      </w:pPr>
      <w:r>
        <w:rPr>
          <w:rFonts w:hint="eastAsia" w:ascii="仿宋_GB2312" w:hAnsi="仿宋" w:eastAsia="仿宋_GB2312"/>
          <w:color w:val="auto"/>
          <w:spacing w:val="0"/>
          <w:sz w:val="32"/>
          <w:szCs w:val="32"/>
          <w:shd w:val="clear" w:color="auto" w:fill="auto"/>
          <w:lang w:eastAsia="zh-CN"/>
        </w:rPr>
        <w:t>⑵</w:t>
      </w:r>
      <w:r>
        <w:rPr>
          <w:rFonts w:hint="eastAsia" w:ascii="仿宋_GB2312" w:hAnsi="仿宋" w:eastAsia="仿宋_GB2312"/>
          <w:color w:val="auto"/>
          <w:spacing w:val="0"/>
          <w:sz w:val="32"/>
          <w:szCs w:val="32"/>
          <w:shd w:val="clear" w:color="auto" w:fill="auto"/>
        </w:rPr>
        <w:t>压缩时限。确保评审质量的前提下，提倡在</w:t>
      </w:r>
      <w:r>
        <w:rPr>
          <w:rFonts w:hint="eastAsia" w:ascii="仿宋_GB2312" w:hAnsi="仿宋" w:eastAsia="仿宋_GB2312"/>
          <w:color w:val="auto"/>
          <w:spacing w:val="0"/>
          <w:sz w:val="32"/>
          <w:szCs w:val="32"/>
          <w:shd w:val="clear" w:color="auto" w:fill="auto"/>
          <w:lang w:eastAsia="zh-CN"/>
        </w:rPr>
        <w:t>《县人民政府办公室关于印发宣恩县进一步优化营商环境的工作方案（试行）的通知》（</w:t>
      </w:r>
      <w:r>
        <w:rPr>
          <w:rFonts w:hint="eastAsia" w:ascii="仿宋_GB2312" w:hAnsi="仿宋" w:eastAsia="仿宋_GB2312"/>
          <w:color w:val="auto"/>
          <w:spacing w:val="0"/>
          <w:sz w:val="32"/>
          <w:szCs w:val="32"/>
          <w:shd w:val="clear" w:color="auto" w:fill="auto"/>
        </w:rPr>
        <w:t>宣政办发</w:t>
      </w:r>
      <w:r>
        <w:rPr>
          <w:rFonts w:hint="eastAsia" w:ascii="仿宋_GB2312" w:hAnsi="仿宋_GB2312" w:eastAsia="仿宋_GB2312" w:cs="仿宋_GB2312"/>
          <w:color w:val="auto"/>
          <w:spacing w:val="0"/>
          <w:sz w:val="32"/>
          <w:szCs w:val="32"/>
          <w:lang w:eastAsia="zh-CN"/>
        </w:rPr>
        <w:t>〔</w:t>
      </w:r>
      <w:r>
        <w:rPr>
          <w:rFonts w:hint="eastAsia" w:ascii="仿宋_GB2312" w:hAnsi="仿宋" w:eastAsia="仿宋_GB2312"/>
          <w:color w:val="auto"/>
          <w:spacing w:val="0"/>
          <w:sz w:val="32"/>
          <w:szCs w:val="32"/>
          <w:shd w:val="clear" w:color="auto" w:fill="auto"/>
        </w:rPr>
        <w:t>2018</w:t>
      </w:r>
      <w:r>
        <w:rPr>
          <w:rFonts w:hint="eastAsia" w:ascii="仿宋_GB2312" w:hAnsi="仿宋_GB2312" w:eastAsia="仿宋_GB2312" w:cs="仿宋_GB2312"/>
          <w:color w:val="auto"/>
          <w:spacing w:val="0"/>
          <w:sz w:val="32"/>
          <w:szCs w:val="32"/>
          <w:lang w:eastAsia="zh-CN"/>
        </w:rPr>
        <w:t>〕</w:t>
      </w:r>
      <w:r>
        <w:rPr>
          <w:rFonts w:hint="eastAsia" w:ascii="仿宋_GB2312" w:hAnsi="仿宋" w:eastAsia="仿宋_GB2312"/>
          <w:color w:val="auto"/>
          <w:spacing w:val="0"/>
          <w:sz w:val="32"/>
          <w:szCs w:val="32"/>
          <w:shd w:val="clear" w:color="auto" w:fill="auto"/>
        </w:rPr>
        <w:t>49号</w:t>
      </w:r>
      <w:r>
        <w:rPr>
          <w:rFonts w:hint="eastAsia" w:ascii="仿宋_GB2312" w:hAnsi="仿宋" w:eastAsia="仿宋_GB2312"/>
          <w:color w:val="auto"/>
          <w:spacing w:val="0"/>
          <w:sz w:val="32"/>
          <w:szCs w:val="32"/>
          <w:shd w:val="clear" w:color="auto" w:fill="auto"/>
          <w:lang w:eastAsia="zh-CN"/>
        </w:rPr>
        <w:t>）</w:t>
      </w:r>
      <w:r>
        <w:rPr>
          <w:rFonts w:hint="eastAsia" w:ascii="仿宋_GB2312" w:hAnsi="仿宋" w:eastAsia="仿宋_GB2312"/>
          <w:color w:val="auto"/>
          <w:spacing w:val="0"/>
          <w:sz w:val="32"/>
          <w:szCs w:val="32"/>
          <w:shd w:val="clear" w:color="auto" w:fill="auto"/>
        </w:rPr>
        <w:t>规定的时限内提前完成。</w:t>
      </w:r>
    </w:p>
    <w:p>
      <w:pPr>
        <w:keepNext w:val="0"/>
        <w:keepLines w:val="0"/>
        <w:pageBreakBefore w:val="0"/>
        <w:widowControl/>
        <w:kinsoku/>
        <w:wordWrap/>
        <w:overflowPunct/>
        <w:topLinePunct w:val="0"/>
        <w:autoSpaceDE/>
        <w:autoSpaceDN/>
        <w:bidi w:val="0"/>
        <w:adjustRightInd/>
        <w:spacing w:line="570" w:lineRule="exact"/>
        <w:ind w:left="0" w:leftChars="0" w:right="0" w:firstLine="640" w:firstLineChars="200"/>
        <w:textAlignment w:val="bottom"/>
        <w:outlineLvl w:val="9"/>
        <w:rPr>
          <w:rFonts w:hint="eastAsia" w:ascii="楷体_GB2312" w:hAnsi="楷体_GB2312" w:eastAsia="楷体_GB2312" w:cs="楷体_GB2312"/>
          <w:b w:val="0"/>
          <w:bCs w:val="0"/>
          <w:color w:val="auto"/>
          <w:spacing w:val="0"/>
          <w:sz w:val="32"/>
          <w:szCs w:val="32"/>
          <w:shd w:val="clear" w:color="auto" w:fill="auto"/>
        </w:rPr>
      </w:pPr>
      <w:r>
        <w:rPr>
          <w:rFonts w:hint="eastAsia" w:ascii="楷体_GB2312" w:hAnsi="楷体_GB2312" w:eastAsia="楷体_GB2312" w:cs="楷体_GB2312"/>
          <w:b w:val="0"/>
          <w:bCs w:val="0"/>
          <w:color w:val="auto"/>
          <w:spacing w:val="0"/>
          <w:sz w:val="32"/>
          <w:szCs w:val="32"/>
          <w:shd w:val="clear" w:color="auto" w:fill="auto"/>
        </w:rPr>
        <w:t>（</w:t>
      </w:r>
      <w:r>
        <w:rPr>
          <w:rFonts w:hint="eastAsia" w:ascii="楷体_GB2312" w:hAnsi="楷体_GB2312" w:eastAsia="楷体_GB2312" w:cs="楷体_GB2312"/>
          <w:b w:val="0"/>
          <w:bCs w:val="0"/>
          <w:color w:val="auto"/>
          <w:spacing w:val="0"/>
          <w:sz w:val="32"/>
          <w:szCs w:val="32"/>
          <w:shd w:val="clear" w:color="auto" w:fill="auto"/>
          <w:lang w:eastAsia="zh-CN"/>
        </w:rPr>
        <w:t>二</w:t>
      </w:r>
      <w:r>
        <w:rPr>
          <w:rFonts w:hint="eastAsia" w:ascii="楷体_GB2312" w:hAnsi="楷体_GB2312" w:eastAsia="楷体_GB2312" w:cs="楷体_GB2312"/>
          <w:b w:val="0"/>
          <w:bCs w:val="0"/>
          <w:color w:val="auto"/>
          <w:spacing w:val="0"/>
          <w:sz w:val="32"/>
          <w:szCs w:val="32"/>
          <w:shd w:val="clear" w:color="auto" w:fill="auto"/>
        </w:rPr>
        <w:t>）强化招标人的主体责任</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sz w:val="32"/>
          <w:szCs w:val="32"/>
          <w:lang w:val="en-US" w:eastAsia="zh-CN"/>
        </w:rPr>
        <w:t>7.强化招标人对项目招投标全过程的管理。</w:t>
      </w:r>
      <w:r>
        <w:rPr>
          <w:rFonts w:hint="eastAsia" w:ascii="仿宋_GB2312" w:hAnsi="仿宋" w:eastAsia="仿宋_GB2312"/>
          <w:color w:val="auto"/>
          <w:spacing w:val="0"/>
          <w:sz w:val="32"/>
          <w:szCs w:val="32"/>
          <w:shd w:val="clear" w:color="auto" w:fill="auto"/>
        </w:rPr>
        <w:t>（</w:t>
      </w:r>
      <w:r>
        <w:rPr>
          <w:rFonts w:hint="eastAsia" w:ascii="Times New Roman" w:hAnsi="Times New Roman" w:eastAsia="仿宋_GB2312" w:cs="仿宋_GB2312"/>
          <w:color w:val="auto"/>
          <w:spacing w:val="0"/>
          <w:sz w:val="32"/>
          <w:szCs w:val="32"/>
          <w:shd w:val="clear" w:color="auto" w:fill="auto"/>
        </w:rPr>
        <w:t>牵头单位：</w:t>
      </w:r>
      <w:r>
        <w:rPr>
          <w:rFonts w:hint="eastAsia" w:ascii="仿宋_GB2312" w:hAnsi="仿宋" w:eastAsia="仿宋_GB2312"/>
          <w:color w:val="auto"/>
          <w:spacing w:val="0"/>
          <w:sz w:val="32"/>
          <w:szCs w:val="32"/>
          <w:shd w:val="clear" w:color="auto" w:fill="auto"/>
        </w:rPr>
        <w:t>各乡镇</w:t>
      </w:r>
      <w:r>
        <w:rPr>
          <w:rFonts w:hint="eastAsia" w:ascii="仿宋_GB2312" w:hAnsi="仿宋" w:eastAsia="仿宋_GB2312"/>
          <w:color w:val="auto"/>
          <w:spacing w:val="0"/>
          <w:sz w:val="32"/>
          <w:szCs w:val="32"/>
          <w:shd w:val="clear" w:color="auto" w:fill="auto"/>
          <w:lang w:eastAsia="zh-CN"/>
        </w:rPr>
        <w:t>人民政府</w:t>
      </w:r>
      <w:r>
        <w:rPr>
          <w:rFonts w:hint="eastAsia" w:ascii="仿宋_GB2312" w:hAnsi="仿宋" w:eastAsia="仿宋_GB2312"/>
          <w:color w:val="auto"/>
          <w:spacing w:val="0"/>
          <w:sz w:val="32"/>
          <w:szCs w:val="32"/>
          <w:shd w:val="clear" w:color="auto" w:fill="auto"/>
        </w:rPr>
        <w:t>、县直相关</w:t>
      </w:r>
      <w:r>
        <w:rPr>
          <w:rFonts w:hint="eastAsia" w:ascii="仿宋_GB2312" w:hAnsi="仿宋" w:eastAsia="仿宋_GB2312"/>
          <w:color w:val="auto"/>
          <w:spacing w:val="0"/>
          <w:sz w:val="32"/>
          <w:szCs w:val="32"/>
          <w:shd w:val="clear" w:color="auto" w:fill="auto"/>
          <w:lang w:eastAsia="zh-CN"/>
        </w:rPr>
        <w:t>单位</w:t>
      </w:r>
      <w:r>
        <w:rPr>
          <w:rFonts w:hint="eastAsia" w:ascii="仿宋_GB2312" w:hAnsi="仿宋" w:eastAsia="仿宋_GB2312"/>
          <w:color w:val="auto"/>
          <w:spacing w:val="0"/>
          <w:sz w:val="32"/>
          <w:szCs w:val="32"/>
          <w:shd w:val="clear" w:color="auto" w:fill="auto"/>
        </w:rPr>
        <w:t>，责任单位：</w:t>
      </w:r>
      <w:r>
        <w:rPr>
          <w:rFonts w:hint="eastAsia" w:ascii="仿宋_GB2312" w:hAnsi="仿宋" w:eastAsia="仿宋_GB2312"/>
          <w:color w:val="auto"/>
          <w:spacing w:val="0"/>
          <w:sz w:val="32"/>
          <w:szCs w:val="32"/>
          <w:shd w:val="clear" w:color="auto" w:fill="auto"/>
          <w:lang w:eastAsia="zh-CN"/>
        </w:rPr>
        <w:t>县政务局</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rPr>
        <w:t>完成时限：2020年1</w:t>
      </w:r>
      <w:r>
        <w:rPr>
          <w:rFonts w:hint="eastAsia" w:ascii="仿宋_GB2312" w:hAnsi="仿宋_GB2312" w:eastAsia="仿宋_GB2312" w:cs="仿宋_GB2312"/>
          <w:color w:val="auto"/>
          <w:spacing w:val="0"/>
          <w:sz w:val="32"/>
          <w:szCs w:val="32"/>
          <w:shd w:val="clear" w:color="auto" w:fill="auto"/>
          <w:lang w:val="en-US" w:eastAsia="zh-CN"/>
        </w:rPr>
        <w:t>2</w:t>
      </w:r>
      <w:r>
        <w:rPr>
          <w:rFonts w:hint="eastAsia" w:ascii="仿宋_GB2312" w:hAnsi="仿宋_GB2312" w:eastAsia="仿宋_GB2312" w:cs="仿宋_GB2312"/>
          <w:color w:val="auto"/>
          <w:spacing w:val="0"/>
          <w:sz w:val="32"/>
          <w:szCs w:val="32"/>
          <w:shd w:val="clear" w:color="auto" w:fill="auto"/>
          <w:lang w:val="en-US"/>
        </w:rPr>
        <w:t>月底，并长期坚持）</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 w:eastAsia="仿宋_GB2312"/>
          <w:color w:val="auto"/>
          <w:spacing w:val="0"/>
          <w:sz w:val="32"/>
          <w:szCs w:val="32"/>
          <w:shd w:val="clear" w:color="auto" w:fill="auto"/>
        </w:rPr>
        <w:t>招标人要按照“谁出资、谁负责”的原则，</w:t>
      </w:r>
      <w:r>
        <w:rPr>
          <w:rFonts w:hint="eastAsia" w:ascii="仿宋_GB2312" w:hAnsi="仿宋" w:eastAsia="仿宋_GB2312"/>
          <w:color w:val="auto"/>
          <w:spacing w:val="0"/>
          <w:sz w:val="32"/>
          <w:szCs w:val="32"/>
          <w:shd w:val="clear" w:color="auto" w:fill="auto"/>
          <w:lang w:eastAsia="zh-CN"/>
        </w:rPr>
        <w:t>认真履行</w:t>
      </w:r>
      <w:r>
        <w:rPr>
          <w:rFonts w:hint="eastAsia" w:ascii="仿宋_GB2312" w:hAnsi="仿宋" w:eastAsia="仿宋_GB2312"/>
          <w:color w:val="auto"/>
          <w:spacing w:val="0"/>
          <w:sz w:val="32"/>
          <w:szCs w:val="32"/>
          <w:shd w:val="clear" w:color="auto" w:fill="auto"/>
        </w:rPr>
        <w:t>项目第一责任人的主体责任</w:t>
      </w:r>
      <w:r>
        <w:rPr>
          <w:rFonts w:hint="eastAsia" w:ascii="仿宋_GB2312" w:hAnsi="仿宋" w:eastAsia="仿宋_GB2312"/>
          <w:color w:val="auto"/>
          <w:spacing w:val="0"/>
          <w:sz w:val="32"/>
          <w:szCs w:val="32"/>
          <w:shd w:val="clear" w:color="auto" w:fill="auto"/>
          <w:lang w:eastAsia="zh-CN"/>
        </w:rPr>
        <w:t>：项目实施前做好项目的科学规划，防止设计缺陷和预算漏项，杜绝低价中标，高价结算；招标时按照</w:t>
      </w:r>
      <w:r>
        <w:rPr>
          <w:rFonts w:hint="eastAsia" w:ascii="仿宋_GB2312" w:hAnsi="仿宋" w:eastAsia="仿宋_GB2312"/>
          <w:color w:val="auto"/>
          <w:spacing w:val="0"/>
          <w:sz w:val="32"/>
          <w:szCs w:val="32"/>
          <w:shd w:val="clear" w:color="auto" w:fill="auto"/>
        </w:rPr>
        <w:t>内部管理制度</w:t>
      </w:r>
      <w:r>
        <w:rPr>
          <w:rFonts w:hint="eastAsia" w:ascii="仿宋_GB2312" w:hAnsi="仿宋" w:eastAsia="仿宋_GB2312"/>
          <w:color w:val="auto"/>
          <w:spacing w:val="0"/>
          <w:sz w:val="32"/>
          <w:szCs w:val="32"/>
          <w:shd w:val="clear" w:color="auto" w:fill="auto"/>
          <w:lang w:eastAsia="zh-CN"/>
        </w:rPr>
        <w:t>，</w:t>
      </w:r>
      <w:r>
        <w:rPr>
          <w:rFonts w:hint="eastAsia" w:ascii="仿宋_GB2312" w:hAnsi="仿宋" w:eastAsia="仿宋_GB2312"/>
          <w:color w:val="auto"/>
          <w:spacing w:val="0"/>
          <w:sz w:val="32"/>
          <w:szCs w:val="32"/>
          <w:shd w:val="clear" w:color="auto" w:fill="auto"/>
        </w:rPr>
        <w:t>加强对项目招投标</w:t>
      </w:r>
      <w:r>
        <w:rPr>
          <w:rFonts w:hint="eastAsia" w:ascii="仿宋_GB2312" w:hAnsi="仿宋" w:eastAsia="仿宋_GB2312"/>
          <w:color w:val="auto"/>
          <w:spacing w:val="0"/>
          <w:sz w:val="32"/>
          <w:szCs w:val="32"/>
          <w:shd w:val="clear" w:color="auto" w:fill="auto"/>
          <w:lang w:eastAsia="zh-CN"/>
        </w:rPr>
        <w:t>文件</w:t>
      </w:r>
      <w:r>
        <w:rPr>
          <w:rFonts w:hint="eastAsia" w:ascii="仿宋_GB2312" w:hAnsi="仿宋" w:eastAsia="仿宋_GB2312"/>
          <w:color w:val="auto"/>
          <w:spacing w:val="0"/>
          <w:sz w:val="32"/>
          <w:szCs w:val="32"/>
          <w:shd w:val="clear" w:color="auto" w:fill="auto"/>
        </w:rPr>
        <w:t>的</w:t>
      </w:r>
      <w:r>
        <w:rPr>
          <w:rFonts w:hint="eastAsia" w:ascii="仿宋_GB2312" w:hAnsi="仿宋" w:eastAsia="仿宋_GB2312"/>
          <w:color w:val="auto"/>
          <w:spacing w:val="0"/>
          <w:sz w:val="32"/>
          <w:szCs w:val="32"/>
          <w:shd w:val="clear" w:color="auto" w:fill="auto"/>
          <w:lang w:eastAsia="zh-CN"/>
        </w:rPr>
        <w:t>严密</w:t>
      </w:r>
      <w:r>
        <w:rPr>
          <w:rFonts w:hint="eastAsia" w:ascii="仿宋_GB2312" w:hAnsi="仿宋" w:eastAsia="仿宋_GB2312"/>
          <w:color w:val="auto"/>
          <w:spacing w:val="0"/>
          <w:sz w:val="32"/>
          <w:szCs w:val="32"/>
          <w:shd w:val="clear" w:color="auto" w:fill="auto"/>
        </w:rPr>
        <w:t>把控，</w:t>
      </w:r>
      <w:r>
        <w:rPr>
          <w:rFonts w:hint="eastAsia" w:ascii="仿宋_GB2312" w:hAnsi="仿宋" w:eastAsia="仿宋_GB2312"/>
          <w:color w:val="auto"/>
          <w:spacing w:val="0"/>
          <w:sz w:val="32"/>
          <w:szCs w:val="32"/>
          <w:shd w:val="clear" w:color="auto" w:fill="auto"/>
          <w:lang w:eastAsia="zh-CN"/>
        </w:rPr>
        <w:t>对照《宣恩县工程项目招投标领域优化营商环境十八条“负面清单”》，</w:t>
      </w:r>
      <w:r>
        <w:rPr>
          <w:rFonts w:hint="eastAsia" w:ascii="仿宋_GB2312" w:hAnsi="仿宋" w:eastAsia="仿宋_GB2312"/>
          <w:color w:val="auto"/>
          <w:spacing w:val="0"/>
          <w:sz w:val="32"/>
          <w:szCs w:val="32"/>
          <w:shd w:val="clear" w:color="auto" w:fill="auto"/>
        </w:rPr>
        <w:t>集体审议招标文件条款，</w:t>
      </w:r>
      <w:r>
        <w:rPr>
          <w:rFonts w:hint="eastAsia" w:ascii="仿宋_GB2312" w:hAnsi="仿宋" w:eastAsia="仿宋_GB2312"/>
          <w:color w:val="auto"/>
          <w:spacing w:val="0"/>
          <w:sz w:val="32"/>
          <w:szCs w:val="32"/>
          <w:shd w:val="clear" w:color="auto" w:fill="auto"/>
          <w:lang w:eastAsia="zh-CN"/>
        </w:rPr>
        <w:t>确保招标文件严谨科学合法合规；评标结束后实行“评定分离”办法的项目，实行定标委员会民主决策，按照《</w:t>
      </w:r>
      <w:r>
        <w:rPr>
          <w:rFonts w:hint="eastAsia" w:ascii="仿宋_GB2312" w:hAnsi="仿宋_GB2312" w:eastAsia="仿宋_GB2312" w:cs="仿宋_GB2312"/>
          <w:color w:val="auto"/>
          <w:spacing w:val="0"/>
          <w:sz w:val="32"/>
          <w:szCs w:val="32"/>
          <w:shd w:val="clear" w:color="auto" w:fill="auto"/>
          <w:lang w:eastAsia="zh-CN"/>
        </w:rPr>
        <w:t>宣恩县建设工程招投标评定分离定标工作指导（试行）规则</w:t>
      </w:r>
      <w:r>
        <w:rPr>
          <w:rFonts w:hint="eastAsia" w:ascii="仿宋_GB2312" w:hAnsi="仿宋" w:eastAsia="仿宋_GB2312"/>
          <w:color w:val="auto"/>
          <w:spacing w:val="0"/>
          <w:sz w:val="32"/>
          <w:szCs w:val="32"/>
          <w:shd w:val="clear" w:color="auto" w:fill="auto"/>
          <w:lang w:eastAsia="zh-CN"/>
        </w:rPr>
        <w:t>》确定中标人；确定中标人时</w:t>
      </w:r>
      <w:r>
        <w:rPr>
          <w:rFonts w:hint="eastAsia" w:ascii="仿宋_GB2312" w:hAnsi="仿宋" w:eastAsia="仿宋_GB2312"/>
          <w:color w:val="auto"/>
          <w:spacing w:val="0"/>
          <w:sz w:val="32"/>
          <w:szCs w:val="32"/>
          <w:shd w:val="clear" w:color="auto" w:fill="auto"/>
        </w:rPr>
        <w:t>严格</w:t>
      </w:r>
      <w:r>
        <w:rPr>
          <w:rFonts w:hint="eastAsia" w:ascii="仿宋_GB2312" w:hAnsi="仿宋" w:eastAsia="仿宋_GB2312"/>
          <w:color w:val="auto"/>
          <w:spacing w:val="0"/>
          <w:sz w:val="32"/>
          <w:szCs w:val="32"/>
          <w:shd w:val="clear" w:color="auto" w:fill="auto"/>
          <w:lang w:eastAsia="zh-CN"/>
        </w:rPr>
        <w:t>审查</w:t>
      </w:r>
      <w:r>
        <w:rPr>
          <w:rFonts w:hint="eastAsia" w:ascii="仿宋_GB2312" w:hAnsi="仿宋" w:eastAsia="仿宋_GB2312"/>
          <w:color w:val="auto"/>
          <w:spacing w:val="0"/>
          <w:sz w:val="32"/>
          <w:szCs w:val="32"/>
          <w:shd w:val="clear" w:color="auto" w:fill="auto"/>
        </w:rPr>
        <w:t>项目中标候选人履约能力</w:t>
      </w:r>
      <w:r>
        <w:rPr>
          <w:rFonts w:hint="eastAsia" w:ascii="仿宋_GB2312" w:hAnsi="仿宋" w:eastAsia="仿宋_GB2312"/>
          <w:color w:val="auto"/>
          <w:spacing w:val="0"/>
          <w:sz w:val="32"/>
          <w:szCs w:val="32"/>
          <w:shd w:val="clear" w:color="auto" w:fill="auto"/>
          <w:lang w:eastAsia="zh-CN"/>
        </w:rPr>
        <w:t>。</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kern w:val="2"/>
          <w:sz w:val="32"/>
          <w:szCs w:val="32"/>
          <w:lang w:val="en-US" w:eastAsia="zh-CN" w:bidi="ar-SA"/>
        </w:rPr>
        <w:t>8.严格执行中标后履约监管制度。</w:t>
      </w:r>
      <w:r>
        <w:rPr>
          <w:rFonts w:hint="eastAsia" w:ascii="仿宋_GB2312" w:hAnsi="仿宋_GB2312" w:eastAsia="仿宋_GB2312" w:cs="仿宋_GB2312"/>
          <w:color w:val="auto"/>
          <w:spacing w:val="0"/>
          <w:sz w:val="32"/>
          <w:szCs w:val="32"/>
          <w:shd w:val="clear" w:color="auto" w:fill="auto"/>
          <w:lang w:val="en-US"/>
        </w:rPr>
        <w:t>（牵头单位：</w:t>
      </w:r>
      <w:r>
        <w:rPr>
          <w:rFonts w:hint="eastAsia" w:ascii="仿宋_GB2312" w:hAnsi="仿宋_GB2312" w:eastAsia="仿宋_GB2312" w:cs="仿宋_GB2312"/>
          <w:color w:val="auto"/>
          <w:spacing w:val="0"/>
          <w:sz w:val="32"/>
          <w:szCs w:val="32"/>
          <w:shd w:val="clear" w:color="auto" w:fill="auto"/>
          <w:lang w:val="en-US" w:eastAsia="zh-CN"/>
        </w:rPr>
        <w:t>各乡镇人民政府、县直相关单位、县纪委监委派驻机构；责任单位：县直行业主管部门、县政务局</w:t>
      </w:r>
      <w:r>
        <w:rPr>
          <w:rFonts w:hint="eastAsia" w:ascii="仿宋_GB2312" w:hAnsi="仿宋_GB2312" w:eastAsia="仿宋_GB2312" w:cs="仿宋_GB2312"/>
          <w:color w:val="auto"/>
          <w:spacing w:val="0"/>
          <w:sz w:val="32"/>
          <w:szCs w:val="32"/>
          <w:shd w:val="clear" w:color="auto" w:fill="auto"/>
          <w:lang w:val="en-US"/>
        </w:rPr>
        <w:t>；完成时限：2020年1</w:t>
      </w:r>
      <w:r>
        <w:rPr>
          <w:rFonts w:hint="eastAsia" w:ascii="仿宋_GB2312" w:hAnsi="仿宋_GB2312" w:eastAsia="仿宋_GB2312" w:cs="仿宋_GB2312"/>
          <w:color w:val="auto"/>
          <w:spacing w:val="0"/>
          <w:sz w:val="32"/>
          <w:szCs w:val="32"/>
          <w:shd w:val="clear" w:color="auto" w:fill="auto"/>
          <w:lang w:val="en-US" w:eastAsia="zh-CN"/>
        </w:rPr>
        <w:t>2</w:t>
      </w:r>
      <w:r>
        <w:rPr>
          <w:rFonts w:hint="eastAsia" w:ascii="仿宋_GB2312" w:hAnsi="仿宋_GB2312" w:eastAsia="仿宋_GB2312" w:cs="仿宋_GB2312"/>
          <w:color w:val="auto"/>
          <w:spacing w:val="0"/>
          <w:sz w:val="32"/>
          <w:szCs w:val="32"/>
          <w:shd w:val="clear" w:color="auto" w:fill="auto"/>
          <w:lang w:val="en-US"/>
        </w:rPr>
        <w:t>月底，并长期坚持）</w:t>
      </w:r>
    </w:p>
    <w:p>
      <w:pPr>
        <w:pStyle w:val="2"/>
        <w:keepNext w:val="0"/>
        <w:keepLines w:val="0"/>
        <w:pageBreakBefore w:val="0"/>
        <w:kinsoku/>
        <w:wordWrap/>
        <w:overflowPunct/>
        <w:topLinePunct w:val="0"/>
        <w:autoSpaceDE/>
        <w:autoSpaceDN/>
        <w:bidi w:val="0"/>
        <w:adjustRightInd/>
        <w:spacing w:line="570" w:lineRule="exact"/>
        <w:ind w:left="0" w:leftChars="0" w:right="0" w:firstLine="640" w:firstLineChars="200"/>
        <w:rPr>
          <w:color w:val="auto"/>
          <w:spacing w:val="0"/>
          <w:lang w:val="en-US"/>
        </w:rPr>
      </w:pPr>
      <w:r>
        <w:rPr>
          <w:rFonts w:hint="eastAsia" w:ascii="仿宋_GB2312" w:hAnsi="仿宋" w:eastAsia="仿宋_GB2312"/>
          <w:color w:val="auto"/>
          <w:spacing w:val="0"/>
          <w:sz w:val="32"/>
          <w:szCs w:val="32"/>
          <w:lang w:eastAsia="zh-CN"/>
        </w:rPr>
        <w:t>根据《关于加强工程建设项目招标后履约行为监管工作的通知》，招标人必须</w:t>
      </w:r>
      <w:r>
        <w:rPr>
          <w:rFonts w:hint="eastAsia" w:ascii="仿宋_GB2312" w:hAnsi="仿宋" w:eastAsia="仿宋_GB2312"/>
          <w:color w:val="auto"/>
          <w:spacing w:val="0"/>
          <w:sz w:val="32"/>
          <w:szCs w:val="32"/>
        </w:rPr>
        <w:t>加强中标后履约检查，</w:t>
      </w:r>
      <w:r>
        <w:rPr>
          <w:rFonts w:hint="eastAsia" w:ascii="仿宋_GB2312" w:hAnsi="仿宋" w:eastAsia="仿宋_GB2312"/>
          <w:color w:val="auto"/>
          <w:spacing w:val="0"/>
          <w:sz w:val="32"/>
          <w:szCs w:val="32"/>
          <w:lang w:eastAsia="zh-CN"/>
        </w:rPr>
        <w:t>及时</w:t>
      </w:r>
      <w:r>
        <w:rPr>
          <w:rFonts w:hint="eastAsia" w:ascii="仿宋_GB2312" w:hAnsi="仿宋" w:eastAsia="仿宋_GB2312"/>
          <w:color w:val="auto"/>
          <w:spacing w:val="0"/>
          <w:sz w:val="32"/>
          <w:szCs w:val="32"/>
        </w:rPr>
        <w:t>将履约情况</w:t>
      </w:r>
      <w:r>
        <w:rPr>
          <w:rFonts w:hint="eastAsia" w:ascii="仿宋_GB2312" w:hAnsi="仿宋" w:eastAsia="仿宋_GB2312"/>
          <w:color w:val="auto"/>
          <w:spacing w:val="0"/>
          <w:sz w:val="32"/>
          <w:szCs w:val="32"/>
          <w:lang w:eastAsia="zh-CN"/>
        </w:rPr>
        <w:t>书面报告至行业主管部门和综合监管部门，行业主管部门</w:t>
      </w:r>
      <w:r>
        <w:rPr>
          <w:rFonts w:hint="eastAsia" w:ascii="仿宋_GB2312" w:hAnsi="仿宋" w:eastAsia="仿宋_GB2312"/>
          <w:color w:val="auto"/>
          <w:spacing w:val="0"/>
          <w:sz w:val="32"/>
          <w:szCs w:val="32"/>
        </w:rPr>
        <w:t>严肃查处中标人不按合同履约的行为，</w:t>
      </w:r>
      <w:r>
        <w:rPr>
          <w:rFonts w:hint="eastAsia" w:ascii="仿宋_GB2312" w:hAnsi="仿宋" w:eastAsia="仿宋_GB2312"/>
          <w:color w:val="auto"/>
          <w:spacing w:val="0"/>
          <w:sz w:val="32"/>
          <w:szCs w:val="32"/>
          <w:lang w:eastAsia="zh-CN"/>
        </w:rPr>
        <w:t>对发现的</w:t>
      </w:r>
      <w:r>
        <w:rPr>
          <w:rFonts w:hint="eastAsia" w:ascii="仿宋_GB2312" w:hAnsi="仿宋" w:eastAsia="仿宋_GB2312"/>
          <w:color w:val="auto"/>
          <w:spacing w:val="0"/>
          <w:sz w:val="32"/>
          <w:szCs w:val="32"/>
        </w:rPr>
        <w:t>转包和违法分包</w:t>
      </w:r>
      <w:r>
        <w:rPr>
          <w:rFonts w:hint="eastAsia" w:ascii="仿宋_GB2312" w:hAnsi="仿宋" w:eastAsia="仿宋_GB2312"/>
          <w:color w:val="auto"/>
          <w:spacing w:val="0"/>
          <w:sz w:val="32"/>
          <w:szCs w:val="32"/>
          <w:lang w:eastAsia="zh-CN"/>
        </w:rPr>
        <w:t>等违法违规</w:t>
      </w:r>
      <w:r>
        <w:rPr>
          <w:rFonts w:hint="eastAsia" w:ascii="仿宋_GB2312" w:hAnsi="仿宋" w:eastAsia="仿宋_GB2312"/>
          <w:color w:val="auto"/>
          <w:spacing w:val="0"/>
          <w:sz w:val="32"/>
          <w:szCs w:val="32"/>
        </w:rPr>
        <w:t>行为</w:t>
      </w:r>
      <w:r>
        <w:rPr>
          <w:rFonts w:hint="eastAsia" w:ascii="仿宋_GB2312" w:hAnsi="仿宋" w:eastAsia="仿宋_GB2312"/>
          <w:color w:val="auto"/>
          <w:spacing w:val="0"/>
          <w:sz w:val="32"/>
          <w:szCs w:val="32"/>
          <w:lang w:eastAsia="zh-CN"/>
        </w:rPr>
        <w:t>必须依法</w:t>
      </w:r>
      <w:r>
        <w:rPr>
          <w:rFonts w:hint="eastAsia" w:ascii="仿宋_GB2312" w:hAnsi="仿宋" w:eastAsia="仿宋_GB2312"/>
          <w:color w:val="auto"/>
          <w:spacing w:val="0"/>
          <w:sz w:val="32"/>
          <w:szCs w:val="32"/>
        </w:rPr>
        <w:t>严厉打击，</w:t>
      </w:r>
      <w:r>
        <w:rPr>
          <w:rFonts w:hint="eastAsia" w:ascii="仿宋_GB2312" w:hAnsi="仿宋" w:eastAsia="仿宋_GB2312"/>
          <w:color w:val="auto"/>
          <w:spacing w:val="0"/>
          <w:sz w:val="32"/>
          <w:szCs w:val="32"/>
          <w:lang w:eastAsia="zh-CN"/>
        </w:rPr>
        <w:t>对不诚信的行为录</w:t>
      </w:r>
      <w:r>
        <w:rPr>
          <w:rFonts w:hint="eastAsia" w:ascii="仿宋_GB2312" w:hAnsi="仿宋" w:eastAsia="仿宋_GB2312"/>
          <w:color w:val="auto"/>
          <w:spacing w:val="0"/>
          <w:sz w:val="32"/>
          <w:szCs w:val="32"/>
        </w:rPr>
        <w:t>入信用信息系统，实行“一次失信、处处受限”。</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 w:eastAsia="仿宋_GB2312"/>
          <w:color w:val="auto"/>
          <w:spacing w:val="0"/>
          <w:sz w:val="32"/>
          <w:szCs w:val="32"/>
          <w:shd w:val="clear" w:color="auto" w:fill="auto"/>
          <w:lang w:eastAsia="zh-CN"/>
        </w:rPr>
      </w:pPr>
      <w:r>
        <w:rPr>
          <w:rFonts w:hint="eastAsia" w:ascii="仿宋_GB2312" w:hAnsi="仿宋" w:eastAsia="仿宋_GB2312"/>
          <w:color w:val="auto"/>
          <w:spacing w:val="0"/>
          <w:sz w:val="32"/>
          <w:szCs w:val="32"/>
          <w:shd w:val="clear" w:color="auto" w:fill="auto"/>
        </w:rPr>
        <w:t>行政</w:t>
      </w:r>
      <w:r>
        <w:rPr>
          <w:rFonts w:hint="eastAsia" w:ascii="仿宋_GB2312" w:hAnsi="仿宋" w:eastAsia="仿宋_GB2312"/>
          <w:color w:val="auto"/>
          <w:spacing w:val="0"/>
          <w:sz w:val="32"/>
          <w:szCs w:val="32"/>
          <w:shd w:val="clear" w:color="auto" w:fill="auto"/>
          <w:lang w:eastAsia="zh-CN"/>
        </w:rPr>
        <w:t>主管</w:t>
      </w:r>
      <w:r>
        <w:rPr>
          <w:rFonts w:hint="eastAsia" w:ascii="仿宋_GB2312" w:hAnsi="仿宋" w:eastAsia="仿宋_GB2312"/>
          <w:color w:val="auto"/>
          <w:spacing w:val="0"/>
          <w:sz w:val="32"/>
          <w:szCs w:val="32"/>
          <w:shd w:val="clear" w:color="auto" w:fill="auto"/>
        </w:rPr>
        <w:t>部门要</w:t>
      </w:r>
      <w:r>
        <w:rPr>
          <w:rFonts w:ascii="仿宋_GB2312" w:hAnsi="仿宋" w:eastAsia="仿宋_GB2312"/>
          <w:color w:val="auto"/>
          <w:spacing w:val="0"/>
          <w:sz w:val="32"/>
          <w:szCs w:val="32"/>
          <w:shd w:val="clear" w:color="auto" w:fill="auto"/>
        </w:rPr>
        <w:t>对</w:t>
      </w:r>
      <w:r>
        <w:rPr>
          <w:rFonts w:ascii="仿宋_GB2312" w:hAnsi="仿宋" w:eastAsia="仿宋_GB2312"/>
          <w:color w:val="auto"/>
          <w:spacing w:val="0"/>
          <w:sz w:val="32"/>
          <w:szCs w:val="32"/>
        </w:rPr>
        <w:t>招标人</w:t>
      </w:r>
      <w:r>
        <w:rPr>
          <w:rFonts w:hint="eastAsia" w:ascii="仿宋_GB2312" w:hAnsi="仿宋" w:eastAsia="仿宋_GB2312"/>
          <w:color w:val="auto"/>
          <w:spacing w:val="0"/>
          <w:sz w:val="32"/>
          <w:szCs w:val="32"/>
          <w:lang w:eastAsia="zh-CN"/>
        </w:rPr>
        <w:t>按前述要求落实的情况进行</w:t>
      </w:r>
      <w:r>
        <w:rPr>
          <w:rFonts w:ascii="仿宋_GB2312" w:hAnsi="仿宋" w:eastAsia="仿宋_GB2312"/>
          <w:color w:val="auto"/>
          <w:spacing w:val="0"/>
          <w:sz w:val="32"/>
          <w:szCs w:val="32"/>
        </w:rPr>
        <w:t>督办通报，</w:t>
      </w:r>
      <w:r>
        <w:rPr>
          <w:rFonts w:hint="eastAsia" w:ascii="仿宋_GB2312" w:hAnsi="仿宋" w:eastAsia="仿宋_GB2312"/>
          <w:color w:val="auto"/>
          <w:spacing w:val="0"/>
          <w:sz w:val="32"/>
          <w:szCs w:val="32"/>
          <w:lang w:eastAsia="zh-CN"/>
        </w:rPr>
        <w:t>对</w:t>
      </w:r>
      <w:r>
        <w:rPr>
          <w:rFonts w:ascii="仿宋_GB2312" w:hAnsi="仿宋" w:eastAsia="仿宋_GB2312"/>
          <w:color w:val="auto"/>
          <w:spacing w:val="0"/>
          <w:sz w:val="32"/>
          <w:szCs w:val="32"/>
          <w:shd w:val="clear" w:color="auto" w:fill="auto"/>
        </w:rPr>
        <w:t>招标人</w:t>
      </w:r>
      <w:r>
        <w:rPr>
          <w:rFonts w:hint="eastAsia" w:ascii="仿宋_GB2312" w:hAnsi="仿宋" w:eastAsia="仿宋_GB2312"/>
          <w:color w:val="auto"/>
          <w:spacing w:val="0"/>
          <w:sz w:val="32"/>
          <w:szCs w:val="32"/>
          <w:shd w:val="clear" w:color="auto" w:fill="auto"/>
          <w:lang w:eastAsia="zh-CN"/>
        </w:rPr>
        <w:t>的</w:t>
      </w:r>
      <w:r>
        <w:rPr>
          <w:rFonts w:ascii="仿宋_GB2312" w:hAnsi="仿宋" w:eastAsia="仿宋_GB2312"/>
          <w:color w:val="auto"/>
          <w:spacing w:val="0"/>
          <w:sz w:val="32"/>
          <w:szCs w:val="32"/>
          <w:shd w:val="clear" w:color="auto" w:fill="auto"/>
        </w:rPr>
        <w:t>违法违规行为</w:t>
      </w:r>
      <w:r>
        <w:rPr>
          <w:rFonts w:hint="eastAsia" w:ascii="仿宋_GB2312" w:hAnsi="仿宋" w:eastAsia="仿宋_GB2312"/>
          <w:color w:val="auto"/>
          <w:spacing w:val="0"/>
          <w:sz w:val="32"/>
          <w:szCs w:val="32"/>
          <w:shd w:val="clear" w:color="auto" w:fill="auto"/>
          <w:lang w:eastAsia="zh-CN"/>
        </w:rPr>
        <w:t>，</w:t>
      </w:r>
      <w:r>
        <w:rPr>
          <w:rFonts w:ascii="仿宋_GB2312" w:hAnsi="仿宋" w:eastAsia="仿宋_GB2312"/>
          <w:color w:val="auto"/>
          <w:spacing w:val="0"/>
          <w:sz w:val="32"/>
          <w:szCs w:val="32"/>
          <w:shd w:val="clear" w:color="auto" w:fill="auto"/>
        </w:rPr>
        <w:t>按照《湖北省公共资源招标投标违法违规行为记录量化管理办法》</w:t>
      </w:r>
      <w:r>
        <w:rPr>
          <w:rFonts w:hint="eastAsia" w:ascii="仿宋_GB2312" w:hAnsi="仿宋" w:eastAsia="仿宋_GB2312"/>
          <w:color w:val="auto"/>
          <w:spacing w:val="0"/>
          <w:sz w:val="32"/>
          <w:szCs w:val="32"/>
          <w:shd w:val="clear" w:color="auto" w:fill="auto"/>
        </w:rPr>
        <w:t>（鄂公管委发﹝2018﹞4号）</w:t>
      </w:r>
      <w:r>
        <w:rPr>
          <w:rFonts w:ascii="仿宋_GB2312" w:hAnsi="仿宋" w:eastAsia="仿宋_GB2312"/>
          <w:color w:val="auto"/>
          <w:spacing w:val="0"/>
          <w:sz w:val="32"/>
          <w:szCs w:val="32"/>
          <w:shd w:val="clear" w:color="auto" w:fill="auto"/>
        </w:rPr>
        <w:t>进行量化记分管理，</w:t>
      </w:r>
      <w:r>
        <w:rPr>
          <w:rFonts w:hint="eastAsia" w:ascii="仿宋_GB2312" w:hAnsi="仿宋" w:eastAsia="仿宋_GB2312"/>
          <w:color w:val="auto"/>
          <w:spacing w:val="0"/>
          <w:sz w:val="32"/>
          <w:szCs w:val="32"/>
          <w:shd w:val="clear" w:color="auto" w:fill="auto"/>
        </w:rPr>
        <w:t>并将</w:t>
      </w:r>
      <w:r>
        <w:rPr>
          <w:rFonts w:ascii="仿宋_GB2312" w:hAnsi="仿宋" w:eastAsia="仿宋_GB2312"/>
          <w:color w:val="auto"/>
          <w:spacing w:val="0"/>
          <w:sz w:val="32"/>
          <w:szCs w:val="32"/>
          <w:shd w:val="clear" w:color="auto" w:fill="auto"/>
        </w:rPr>
        <w:t>情况通报纪检监察机关。</w:t>
      </w:r>
      <w:r>
        <w:rPr>
          <w:rFonts w:hint="eastAsia" w:ascii="仿宋_GB2312" w:hAnsi="仿宋" w:eastAsia="仿宋_GB2312"/>
          <w:color w:val="auto"/>
          <w:spacing w:val="0"/>
          <w:sz w:val="32"/>
          <w:szCs w:val="32"/>
          <w:shd w:val="clear" w:color="auto" w:fill="auto"/>
          <w:lang w:eastAsia="zh-CN"/>
        </w:rPr>
        <w:t>派驻纪检监察机构应参与派驻单位项目招投标全过程监督。</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楷体_GB2312" w:hAnsi="楷体_GB2312" w:eastAsia="楷体_GB2312" w:cs="楷体_GB2312"/>
          <w:b w:val="0"/>
          <w:bCs w:val="0"/>
          <w:color w:val="auto"/>
          <w:spacing w:val="0"/>
          <w:sz w:val="32"/>
          <w:szCs w:val="32"/>
          <w:shd w:val="clear" w:color="auto" w:fill="auto"/>
          <w:lang w:eastAsia="zh-CN"/>
        </w:rPr>
      </w:pPr>
      <w:r>
        <w:rPr>
          <w:rFonts w:hint="eastAsia" w:ascii="楷体_GB2312" w:hAnsi="楷体_GB2312" w:eastAsia="楷体_GB2312" w:cs="楷体_GB2312"/>
          <w:b w:val="0"/>
          <w:bCs w:val="0"/>
          <w:color w:val="auto"/>
          <w:spacing w:val="0"/>
          <w:sz w:val="32"/>
          <w:szCs w:val="32"/>
          <w:shd w:val="clear" w:color="auto" w:fill="auto"/>
          <w:lang w:eastAsia="zh-CN"/>
        </w:rPr>
        <w:t>（三）实行联合奖惩，严厉打击招投标违法违规行为</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z w:val="32"/>
          <w:szCs w:val="32"/>
          <w:shd w:val="clear" w:color="auto" w:fill="auto"/>
          <w:lang w:val="en-US"/>
        </w:rPr>
      </w:pPr>
      <w:r>
        <w:rPr>
          <w:rFonts w:hint="eastAsia" w:ascii="仿宋_GB2312" w:hAnsi="仿宋_GB2312" w:eastAsia="仿宋_GB2312" w:cs="仿宋_GB2312"/>
          <w:b/>
          <w:bCs/>
          <w:color w:val="auto"/>
          <w:spacing w:val="0"/>
          <w:sz w:val="32"/>
          <w:szCs w:val="32"/>
          <w:lang w:val="en-US" w:eastAsia="zh-CN"/>
        </w:rPr>
        <w:t>9.开展守信激励和失信惩戒。</w:t>
      </w:r>
      <w:r>
        <w:rPr>
          <w:rFonts w:hint="eastAsia" w:ascii="仿宋_GB2312" w:hAnsi="仿宋_GB2312" w:eastAsia="仿宋_GB2312" w:cs="仿宋_GB2312"/>
          <w:color w:val="auto"/>
          <w:spacing w:val="0"/>
          <w:sz w:val="32"/>
          <w:szCs w:val="32"/>
          <w:shd w:val="clear" w:color="auto" w:fill="auto"/>
          <w:lang w:val="en-US"/>
        </w:rPr>
        <w:t>（</w:t>
      </w:r>
      <w:r>
        <w:rPr>
          <w:rFonts w:hint="eastAsia" w:ascii="仿宋_GB2312" w:hAnsi="仿宋_GB2312" w:eastAsia="仿宋_GB2312" w:cs="仿宋_GB2312"/>
          <w:color w:val="auto"/>
          <w:spacing w:val="0"/>
          <w:sz w:val="32"/>
          <w:szCs w:val="32"/>
          <w:shd w:val="clear" w:color="auto" w:fill="auto"/>
        </w:rPr>
        <w:t>牵头单位：</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lang w:val="en-US" w:eastAsia="zh-CN"/>
        </w:rPr>
        <w:t>直行业主管部门</w:t>
      </w:r>
      <w:r>
        <w:rPr>
          <w:rFonts w:hint="eastAsia" w:ascii="仿宋_GB2312" w:hAnsi="仿宋_GB2312" w:eastAsia="仿宋_GB2312" w:cs="仿宋_GB2312"/>
          <w:color w:val="auto"/>
          <w:spacing w:val="0"/>
          <w:sz w:val="32"/>
          <w:szCs w:val="32"/>
          <w:shd w:val="clear" w:color="auto" w:fill="auto"/>
          <w:lang w:val="en-US"/>
        </w:rPr>
        <w:t>，责任单位：县</w:t>
      </w:r>
      <w:r>
        <w:rPr>
          <w:rFonts w:hint="eastAsia" w:ascii="仿宋_GB2312" w:hAnsi="仿宋_GB2312" w:eastAsia="仿宋_GB2312" w:cs="仿宋_GB2312"/>
          <w:color w:val="auto"/>
          <w:spacing w:val="0"/>
          <w:sz w:val="32"/>
          <w:szCs w:val="32"/>
          <w:shd w:val="clear" w:color="auto" w:fill="auto"/>
        </w:rPr>
        <w:t>公安局、</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法院、</w:t>
      </w:r>
      <w:r>
        <w:rPr>
          <w:rFonts w:hint="eastAsia" w:ascii="仿宋_GB2312" w:hAnsi="仿宋_GB2312" w:eastAsia="仿宋_GB2312" w:cs="仿宋_GB2312"/>
          <w:color w:val="auto"/>
          <w:spacing w:val="0"/>
          <w:sz w:val="32"/>
          <w:szCs w:val="32"/>
          <w:shd w:val="clear" w:color="auto" w:fill="auto"/>
          <w:lang w:eastAsia="zh-CN"/>
        </w:rPr>
        <w:t>县</w:t>
      </w:r>
      <w:r>
        <w:rPr>
          <w:rFonts w:hint="eastAsia" w:ascii="仿宋_GB2312" w:hAnsi="仿宋_GB2312" w:eastAsia="仿宋_GB2312" w:cs="仿宋_GB2312"/>
          <w:color w:val="auto"/>
          <w:spacing w:val="0"/>
          <w:sz w:val="32"/>
          <w:szCs w:val="32"/>
          <w:shd w:val="clear" w:color="auto" w:fill="auto"/>
        </w:rPr>
        <w:t>司法</w:t>
      </w:r>
      <w:r>
        <w:rPr>
          <w:rFonts w:hint="eastAsia" w:ascii="仿宋_GB2312" w:hAnsi="仿宋_GB2312" w:eastAsia="仿宋_GB2312" w:cs="仿宋_GB2312"/>
          <w:color w:val="auto"/>
          <w:spacing w:val="0"/>
          <w:sz w:val="32"/>
          <w:szCs w:val="32"/>
          <w:shd w:val="clear" w:color="auto" w:fill="auto"/>
          <w:lang w:eastAsia="zh-CN"/>
        </w:rPr>
        <w:t>局，</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公共资源交易管理委员会成员单位，各乡镇人民政府</w:t>
      </w:r>
      <w:r>
        <w:rPr>
          <w:rFonts w:hint="eastAsia" w:ascii="仿宋_GB2312" w:hAnsi="仿宋_GB2312" w:eastAsia="仿宋_GB2312" w:cs="仿宋_GB2312"/>
          <w:color w:val="auto"/>
          <w:spacing w:val="0"/>
          <w:sz w:val="32"/>
          <w:szCs w:val="32"/>
          <w:shd w:val="clear" w:color="auto" w:fill="auto"/>
          <w:lang w:val="en-US"/>
        </w:rPr>
        <w:t>；完成时限：2020年</w:t>
      </w:r>
      <w:r>
        <w:rPr>
          <w:rFonts w:hint="eastAsia" w:ascii="仿宋_GB2312" w:hAnsi="仿宋_GB2312" w:eastAsia="仿宋_GB2312" w:cs="仿宋_GB2312"/>
          <w:color w:val="auto"/>
          <w:spacing w:val="0"/>
          <w:sz w:val="32"/>
          <w:szCs w:val="32"/>
          <w:shd w:val="clear" w:color="auto" w:fill="auto"/>
          <w:lang w:val="en-US" w:eastAsia="zh-CN"/>
        </w:rPr>
        <w:t>12</w:t>
      </w:r>
      <w:r>
        <w:rPr>
          <w:rFonts w:hint="eastAsia" w:ascii="仿宋_GB2312" w:hAnsi="仿宋_GB2312" w:eastAsia="仿宋_GB2312" w:cs="仿宋_GB2312"/>
          <w:color w:val="auto"/>
          <w:spacing w:val="0"/>
          <w:sz w:val="32"/>
          <w:szCs w:val="32"/>
          <w:shd w:val="clear" w:color="auto" w:fill="auto"/>
          <w:lang w:val="en-US"/>
        </w:rPr>
        <w:t>月底，并长期坚持）</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_GB2312" w:eastAsia="仿宋_GB2312" w:cs="仿宋_GB2312"/>
          <w:color w:val="auto"/>
          <w:spacing w:val="0"/>
          <w:sz w:val="32"/>
          <w:szCs w:val="32"/>
          <w:shd w:val="clear" w:color="auto" w:fill="auto"/>
        </w:rPr>
      </w:pPr>
      <w:r>
        <w:rPr>
          <w:rFonts w:hint="eastAsia" w:ascii="仿宋_GB2312" w:hAnsi="仿宋_GB2312" w:eastAsia="仿宋_GB2312" w:cs="仿宋_GB2312"/>
          <w:color w:val="auto"/>
          <w:spacing w:val="0"/>
          <w:kern w:val="2"/>
          <w:sz w:val="32"/>
          <w:szCs w:val="32"/>
          <w:shd w:val="clear" w:color="auto" w:fill="auto"/>
          <w:lang w:val="en-US" w:eastAsia="zh-CN" w:bidi="ar-SA"/>
        </w:rPr>
        <w:t>逐步</w:t>
      </w:r>
      <w:r>
        <w:rPr>
          <w:rFonts w:hint="eastAsia" w:ascii="仿宋_GB2312" w:hAnsi="仿宋_GB2312" w:eastAsia="仿宋_GB2312" w:cs="仿宋_GB2312"/>
          <w:color w:val="auto"/>
          <w:spacing w:val="0"/>
          <w:sz w:val="32"/>
          <w:szCs w:val="32"/>
          <w:shd w:val="clear" w:color="auto" w:fill="auto"/>
        </w:rPr>
        <w:t>建立招标人、招标代理机构、投标人、评标专家等主体信用评价机制，加强信用评价结果运用，利用信用评价机制择优选择中标人，完善联合奖惩机制。</w:t>
      </w:r>
      <w:r>
        <w:rPr>
          <w:rFonts w:hint="eastAsia" w:ascii="仿宋_GB2312" w:hAnsi="仿宋_GB2312" w:eastAsia="仿宋_GB2312" w:cs="仿宋_GB2312"/>
          <w:color w:val="auto"/>
          <w:spacing w:val="0"/>
          <w:sz w:val="32"/>
          <w:szCs w:val="32"/>
          <w:shd w:val="clear" w:color="auto" w:fill="auto"/>
          <w:lang w:eastAsia="zh-CN"/>
        </w:rPr>
        <w:t>按照</w:t>
      </w:r>
      <w:r>
        <w:rPr>
          <w:rFonts w:hint="eastAsia" w:ascii="仿宋_GB2312" w:hAnsi="仿宋_GB2312" w:eastAsia="仿宋_GB2312" w:cs="仿宋_GB2312"/>
          <w:color w:val="auto"/>
          <w:spacing w:val="0"/>
          <w:sz w:val="32"/>
          <w:szCs w:val="32"/>
          <w:shd w:val="clear" w:color="auto" w:fill="auto"/>
        </w:rPr>
        <w:t>《宣恩县“红黑名单”发布及联合奖惩开展工作的实施方案》，将招投标“红黑名单”、招投标违法违规信息记录和信用评价结果作为资格审查、评标、定标评审因素，实行联合惩戒。</w:t>
      </w:r>
    </w:p>
    <w:p>
      <w:pPr>
        <w:keepNext w:val="0"/>
        <w:keepLines w:val="0"/>
        <w:pageBreakBefore w:val="0"/>
        <w:kinsoku/>
        <w:wordWrap/>
        <w:overflowPunct/>
        <w:topLinePunct w:val="0"/>
        <w:autoSpaceDE/>
        <w:autoSpaceDN/>
        <w:bidi w:val="0"/>
        <w:adjustRightInd/>
        <w:snapToGrid w:val="0"/>
        <w:spacing w:line="570" w:lineRule="exact"/>
        <w:ind w:left="0" w:leftChars="0" w:right="0" w:firstLine="643" w:firstLineChars="200"/>
        <w:jc w:val="both"/>
        <w:outlineLvl w:val="9"/>
        <w:rPr>
          <w:rFonts w:hint="eastAsia" w:ascii="仿宋_GB2312" w:hAnsi="仿宋_GB2312" w:eastAsia="仿宋_GB2312" w:cs="仿宋_GB2312"/>
          <w:color w:val="auto"/>
          <w:spacing w:val="0"/>
          <w:shd w:val="clear" w:color="auto" w:fill="auto"/>
          <w:lang w:val="en-US"/>
        </w:rPr>
      </w:pPr>
      <w:r>
        <w:rPr>
          <w:rFonts w:hint="eastAsia" w:ascii="仿宋_GB2312" w:hAnsi="仿宋_GB2312" w:eastAsia="仿宋_GB2312" w:cs="仿宋_GB2312"/>
          <w:b/>
          <w:bCs/>
          <w:color w:val="auto"/>
          <w:spacing w:val="0"/>
          <w:sz w:val="32"/>
          <w:szCs w:val="32"/>
          <w:lang w:val="en-US" w:eastAsia="zh-CN"/>
        </w:rPr>
        <w:t>10.严厉打击招投标违法违规行为。</w:t>
      </w:r>
      <w:r>
        <w:rPr>
          <w:rFonts w:hint="eastAsia" w:ascii="仿宋_GB2312" w:hAnsi="仿宋_GB2312" w:eastAsia="仿宋_GB2312" w:cs="仿宋_GB2312"/>
          <w:color w:val="auto"/>
          <w:spacing w:val="0"/>
          <w:sz w:val="32"/>
          <w:szCs w:val="32"/>
          <w:shd w:val="clear" w:color="auto" w:fill="auto"/>
        </w:rPr>
        <w:t>（牵头单位：</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委政法委、</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纪委监委</w:t>
      </w:r>
      <w:r>
        <w:rPr>
          <w:rFonts w:hint="eastAsia" w:ascii="仿宋_GB2312" w:hAnsi="仿宋_GB2312" w:eastAsia="仿宋_GB2312" w:cs="仿宋_GB2312"/>
          <w:color w:val="auto"/>
          <w:spacing w:val="0"/>
          <w:sz w:val="32"/>
          <w:szCs w:val="32"/>
          <w:shd w:val="clear" w:color="auto" w:fill="auto"/>
          <w:lang w:eastAsia="zh-CN"/>
        </w:rPr>
        <w:t>机关、</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公安局</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责任单位：</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法院、</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检察院、</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司法局，</w:t>
      </w:r>
      <w:r>
        <w:rPr>
          <w:rFonts w:hint="eastAsia" w:ascii="仿宋_GB2312" w:hAnsi="仿宋_GB2312" w:eastAsia="仿宋_GB2312" w:cs="仿宋_GB2312"/>
          <w:color w:val="auto"/>
          <w:spacing w:val="0"/>
          <w:sz w:val="32"/>
          <w:szCs w:val="32"/>
          <w:shd w:val="clear" w:color="auto" w:fill="auto"/>
          <w:lang w:eastAsia="zh-CN"/>
        </w:rPr>
        <w:t>县人社局、县城管执法局，</w:t>
      </w:r>
      <w:r>
        <w:rPr>
          <w:rFonts w:hint="eastAsia" w:ascii="仿宋_GB2312" w:hAnsi="仿宋_GB2312" w:eastAsia="仿宋_GB2312" w:cs="仿宋_GB2312"/>
          <w:color w:val="auto"/>
          <w:spacing w:val="0"/>
          <w:sz w:val="32"/>
          <w:szCs w:val="32"/>
          <w:shd w:val="clear" w:color="auto" w:fill="auto"/>
          <w:lang w:val="en-US"/>
        </w:rPr>
        <w:t>县</w:t>
      </w:r>
      <w:r>
        <w:rPr>
          <w:rFonts w:hint="eastAsia" w:ascii="仿宋_GB2312" w:hAnsi="仿宋_GB2312" w:eastAsia="仿宋_GB2312" w:cs="仿宋_GB2312"/>
          <w:color w:val="auto"/>
          <w:spacing w:val="0"/>
          <w:sz w:val="32"/>
          <w:szCs w:val="32"/>
          <w:shd w:val="clear" w:color="auto" w:fill="auto"/>
        </w:rPr>
        <w:t>公共资源交易管委会成员单位；</w:t>
      </w:r>
      <w:r>
        <w:rPr>
          <w:rFonts w:hint="eastAsia" w:ascii="仿宋_GB2312" w:hAnsi="仿宋_GB2312" w:eastAsia="仿宋_GB2312" w:cs="仿宋_GB2312"/>
          <w:color w:val="auto"/>
          <w:spacing w:val="0"/>
          <w:sz w:val="32"/>
          <w:szCs w:val="32"/>
          <w:shd w:val="clear" w:color="auto" w:fill="auto"/>
          <w:lang w:val="en-US"/>
        </w:rPr>
        <w:t>完成时限：2020年1</w:t>
      </w:r>
      <w:r>
        <w:rPr>
          <w:rFonts w:hint="eastAsia" w:ascii="仿宋_GB2312" w:hAnsi="仿宋_GB2312" w:eastAsia="仿宋_GB2312" w:cs="仿宋_GB2312"/>
          <w:color w:val="auto"/>
          <w:spacing w:val="0"/>
          <w:sz w:val="32"/>
          <w:szCs w:val="32"/>
          <w:shd w:val="clear" w:color="auto" w:fill="auto"/>
          <w:lang w:val="en-US" w:eastAsia="zh-CN"/>
        </w:rPr>
        <w:t>2</w:t>
      </w:r>
      <w:r>
        <w:rPr>
          <w:rFonts w:hint="eastAsia" w:ascii="仿宋_GB2312" w:hAnsi="仿宋_GB2312" w:eastAsia="仿宋_GB2312" w:cs="仿宋_GB2312"/>
          <w:color w:val="auto"/>
          <w:spacing w:val="0"/>
          <w:sz w:val="32"/>
          <w:szCs w:val="32"/>
          <w:shd w:val="clear" w:color="auto" w:fill="auto"/>
          <w:lang w:val="en-US"/>
        </w:rPr>
        <w:t>月底，并长期坚持</w:t>
      </w:r>
      <w:r>
        <w:rPr>
          <w:rFonts w:hint="eastAsia" w:ascii="仿宋_GB2312" w:hAnsi="仿宋_GB2312" w:eastAsia="仿宋_GB2312" w:cs="仿宋_GB2312"/>
          <w:color w:val="auto"/>
          <w:spacing w:val="0"/>
          <w:sz w:val="32"/>
          <w:szCs w:val="32"/>
          <w:shd w:val="clear" w:color="auto" w:fill="auto"/>
        </w:rPr>
        <w:t>）</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仿宋_GB2312" w:hAnsi="仿宋_GB2312" w:eastAsia="仿宋_GB2312" w:cs="仿宋_GB2312"/>
          <w:color w:val="auto"/>
          <w:spacing w:val="0"/>
          <w:shd w:val="clear" w:color="auto" w:fill="auto"/>
          <w:lang w:val="en-US"/>
        </w:rPr>
      </w:pPr>
      <w:r>
        <w:rPr>
          <w:rFonts w:hint="eastAsia" w:ascii="仿宋_GB2312" w:hAnsi="仿宋_GB2312" w:eastAsia="仿宋_GB2312" w:cs="仿宋_GB2312"/>
          <w:color w:val="auto"/>
          <w:spacing w:val="0"/>
          <w:sz w:val="32"/>
          <w:szCs w:val="32"/>
          <w:shd w:val="clear" w:color="auto" w:fill="auto"/>
          <w:lang w:val="en-US"/>
        </w:rPr>
        <w:t>按照管委会关于</w:t>
      </w:r>
      <w:r>
        <w:rPr>
          <w:rFonts w:hint="eastAsia" w:ascii="仿宋_GB2312" w:hAnsi="仿宋_GB2312" w:eastAsia="仿宋_GB2312" w:cs="仿宋_GB2312"/>
          <w:color w:val="auto"/>
          <w:spacing w:val="0"/>
          <w:sz w:val="32"/>
          <w:szCs w:val="32"/>
          <w:shd w:val="clear" w:color="auto" w:fill="auto"/>
        </w:rPr>
        <w:t>《公共资源交易联动监督管理实施方案》</w:t>
      </w:r>
      <w:r>
        <w:rPr>
          <w:rFonts w:hint="eastAsia" w:ascii="仿宋_GB2312" w:hAnsi="仿宋_GB2312" w:eastAsia="仿宋_GB2312" w:cs="仿宋_GB2312"/>
          <w:color w:val="auto"/>
          <w:spacing w:val="0"/>
          <w:sz w:val="32"/>
          <w:szCs w:val="32"/>
          <w:shd w:val="clear" w:color="auto" w:fill="auto"/>
          <w:lang w:eastAsia="zh-CN"/>
        </w:rPr>
        <w:t>（宣公管委</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2020</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5号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lang w:val="en-US"/>
        </w:rPr>
        <w:t>要求，建立健全公共资源交易联动执法工作制度，明确公共资源交易违法违纪案件线索移交、案件转办、联合办案工作程序，充分发挥综合监管、行政监督和司法机关办案资源优势，合力打击公共资源交易中的违法违规行为。</w:t>
      </w:r>
      <w:r>
        <w:rPr>
          <w:rFonts w:hint="eastAsia" w:ascii="仿宋_GB2312" w:hAnsi="仿宋_GB2312" w:eastAsia="仿宋_GB2312" w:cs="仿宋_GB2312"/>
          <w:color w:val="auto"/>
          <w:spacing w:val="0"/>
          <w:sz w:val="32"/>
          <w:szCs w:val="32"/>
          <w:shd w:val="clear" w:color="auto" w:fill="auto"/>
        </w:rPr>
        <w:t>重点对工程建设项目招标人规避招标、虚假招标、故意设置不合理限制和壁垒、明招暗定的，投标人弄虚作假、借用资质、围标串标、恶意低价中标的</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评标专家暗箱操作、评标造假的；招标代理机构串通围标的</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中标人违法发包、转包、分包的，以及</w:t>
      </w:r>
      <w:r>
        <w:rPr>
          <w:rFonts w:hint="eastAsia" w:ascii="仿宋_GB2312" w:hAnsi="仿宋_GB2312" w:eastAsia="仿宋_GB2312" w:cs="仿宋_GB2312"/>
          <w:color w:val="auto"/>
          <w:spacing w:val="0"/>
          <w:sz w:val="32"/>
          <w:szCs w:val="32"/>
          <w:shd w:val="clear" w:color="auto" w:fill="auto"/>
          <w:lang w:eastAsia="zh-CN"/>
        </w:rPr>
        <w:t>不诚信守约等情形</w:t>
      </w:r>
      <w:r>
        <w:rPr>
          <w:rFonts w:hint="eastAsia" w:ascii="仿宋_GB2312" w:hAnsi="仿宋_GB2312" w:eastAsia="仿宋_GB2312" w:cs="仿宋_GB2312"/>
          <w:color w:val="auto"/>
          <w:spacing w:val="0"/>
          <w:sz w:val="32"/>
          <w:szCs w:val="32"/>
          <w:shd w:val="clear" w:color="auto" w:fill="auto"/>
        </w:rPr>
        <w:t>的相关责任人进行严厉打击。深挖建设工程领域黑恶势力线索，从信访渠道入手深入调查，从重点关注的招标代理公司、施工企业等服务对象中查，从风险隐患、拖欠农民工工资等业务检查中查，向扫黑办</w:t>
      </w:r>
      <w:r>
        <w:rPr>
          <w:rFonts w:hint="eastAsia" w:ascii="仿宋_GB2312" w:hAnsi="仿宋_GB2312" w:eastAsia="仿宋_GB2312" w:cs="仿宋_GB2312"/>
          <w:color w:val="auto"/>
          <w:spacing w:val="0"/>
          <w:sz w:val="32"/>
          <w:szCs w:val="32"/>
          <w:shd w:val="clear" w:color="auto" w:fill="auto"/>
          <w:lang w:eastAsia="zh-CN"/>
        </w:rPr>
        <w:t>和公安局移交</w:t>
      </w:r>
      <w:r>
        <w:rPr>
          <w:rFonts w:hint="eastAsia" w:ascii="仿宋_GB2312" w:hAnsi="仿宋_GB2312" w:eastAsia="仿宋_GB2312" w:cs="仿宋_GB2312"/>
          <w:color w:val="auto"/>
          <w:spacing w:val="0"/>
          <w:sz w:val="32"/>
          <w:szCs w:val="32"/>
          <w:shd w:val="clear" w:color="auto" w:fill="auto"/>
        </w:rPr>
        <w:t>建设工程领域黑恶势力线索。同时</w:t>
      </w:r>
      <w:r>
        <w:rPr>
          <w:rFonts w:hint="eastAsia" w:ascii="仿宋_GB2312" w:hAnsi="仿宋_GB2312" w:eastAsia="仿宋_GB2312" w:cs="仿宋_GB2312"/>
          <w:color w:val="auto"/>
          <w:spacing w:val="0"/>
          <w:sz w:val="32"/>
          <w:szCs w:val="32"/>
          <w:shd w:val="clear" w:color="auto" w:fill="auto"/>
          <w:lang w:val="en-US"/>
        </w:rPr>
        <w:t>与县纪委监委建立问题线索移送制度，发现的党员、干部和国家公职人员违规插手招投标、贪污受贿、失职渎职等问题线索，一律按规定移送。</w:t>
      </w:r>
    </w:p>
    <w:p>
      <w:pPr>
        <w:keepNext w:val="0"/>
        <w:keepLines w:val="0"/>
        <w:pageBreakBefore w:val="0"/>
        <w:kinsoku/>
        <w:wordWrap/>
        <w:overflowPunct/>
        <w:topLinePunct w:val="0"/>
        <w:autoSpaceDE/>
        <w:autoSpaceDN/>
        <w:bidi w:val="0"/>
        <w:adjustRightInd/>
        <w:snapToGrid w:val="0"/>
        <w:spacing w:line="570" w:lineRule="exact"/>
        <w:ind w:left="0" w:leftChars="0" w:right="0" w:firstLine="640" w:firstLineChars="200"/>
        <w:jc w:val="both"/>
        <w:outlineLvl w:val="9"/>
        <w:rPr>
          <w:rFonts w:hint="eastAsia" w:ascii="楷体_GB2312" w:hAnsi="楷体_GB2312" w:eastAsia="楷体_GB2312" w:cs="楷体_GB2312"/>
          <w:b w:val="0"/>
          <w:bCs w:val="0"/>
          <w:color w:val="auto"/>
          <w:spacing w:val="0"/>
          <w:sz w:val="32"/>
          <w:szCs w:val="32"/>
          <w:shd w:val="clear" w:color="auto" w:fill="auto"/>
          <w:lang w:eastAsia="zh-CN"/>
        </w:rPr>
      </w:pPr>
      <w:r>
        <w:rPr>
          <w:rFonts w:hint="eastAsia" w:ascii="楷体_GB2312" w:hAnsi="楷体_GB2312" w:eastAsia="楷体_GB2312" w:cs="楷体_GB2312"/>
          <w:b w:val="0"/>
          <w:bCs w:val="0"/>
          <w:color w:val="auto"/>
          <w:spacing w:val="0"/>
          <w:sz w:val="32"/>
          <w:szCs w:val="32"/>
          <w:shd w:val="clear" w:color="auto" w:fill="auto"/>
          <w:lang w:eastAsia="zh-CN"/>
        </w:rPr>
        <w:t>（四）强化对公共资源交易监督管理工作的组织领导</w:t>
      </w:r>
    </w:p>
    <w:p>
      <w:pPr>
        <w:pStyle w:val="4"/>
        <w:keepNext w:val="0"/>
        <w:keepLines w:val="0"/>
        <w:pageBreakBefore w:val="0"/>
        <w:kinsoku/>
        <w:wordWrap/>
        <w:overflowPunct/>
        <w:topLinePunct w:val="0"/>
        <w:autoSpaceDE/>
        <w:autoSpaceDN/>
        <w:bidi w:val="0"/>
        <w:adjustRightInd/>
        <w:spacing w:line="570" w:lineRule="exact"/>
        <w:ind w:left="0" w:leftChars="0" w:right="0" w:firstLine="643" w:firstLineChars="200"/>
        <w:jc w:val="both"/>
        <w:outlineLvl w:val="9"/>
        <w:rPr>
          <w:rFonts w:ascii="Times New Roman" w:hAnsi="Times New Roman" w:eastAsia="仿宋_GB2312" w:cs="仿宋_GB2312"/>
          <w:color w:val="auto"/>
          <w:spacing w:val="0"/>
          <w:shd w:val="clear" w:color="auto" w:fill="auto"/>
        </w:rPr>
      </w:pPr>
      <w:r>
        <w:rPr>
          <w:rFonts w:hint="eastAsia" w:ascii="仿宋_GB2312" w:hAnsi="仿宋_GB2312" w:eastAsia="仿宋_GB2312" w:cs="仿宋_GB2312"/>
          <w:b/>
          <w:bCs/>
          <w:color w:val="auto"/>
          <w:spacing w:val="0"/>
          <w:kern w:val="2"/>
          <w:sz w:val="32"/>
          <w:szCs w:val="32"/>
          <w:lang w:val="en-US" w:eastAsia="zh-CN" w:bidi="ar-SA"/>
        </w:rPr>
        <w:t>11.强化组织领导。</w:t>
      </w:r>
      <w:r>
        <w:rPr>
          <w:rFonts w:hint="eastAsia" w:ascii="Times New Roman" w:hAnsi="Times New Roman" w:eastAsia="仿宋_GB2312" w:cs="仿宋_GB2312"/>
          <w:color w:val="auto"/>
          <w:spacing w:val="0"/>
          <w:shd w:val="clear" w:color="auto" w:fill="auto"/>
        </w:rPr>
        <w:t>成立</w:t>
      </w:r>
      <w:r>
        <w:rPr>
          <w:rFonts w:hint="eastAsia" w:ascii="Times New Roman" w:hAnsi="Times New Roman" w:eastAsia="仿宋_GB2312" w:cs="仿宋_GB2312"/>
          <w:color w:val="auto"/>
          <w:spacing w:val="0"/>
          <w:shd w:val="clear" w:color="auto" w:fill="auto"/>
          <w:lang w:val="en-US"/>
        </w:rPr>
        <w:t>县</w:t>
      </w:r>
      <w:r>
        <w:rPr>
          <w:rFonts w:hint="eastAsia" w:ascii="Times New Roman" w:hAnsi="Times New Roman" w:eastAsia="仿宋_GB2312" w:cs="仿宋_GB2312"/>
          <w:color w:val="auto"/>
          <w:spacing w:val="0"/>
          <w:shd w:val="clear" w:color="auto" w:fill="auto"/>
        </w:rPr>
        <w:t>优化公共资源交易</w:t>
      </w:r>
      <w:r>
        <w:rPr>
          <w:rFonts w:hint="eastAsia" w:ascii="Times New Roman" w:hAnsi="Times New Roman" w:eastAsia="仿宋_GB2312" w:cs="仿宋_GB2312"/>
          <w:color w:val="auto"/>
          <w:spacing w:val="0"/>
          <w:shd w:val="clear" w:color="auto" w:fill="auto"/>
          <w:lang w:eastAsia="zh-CN"/>
        </w:rPr>
        <w:t>招投标</w:t>
      </w:r>
      <w:r>
        <w:rPr>
          <w:rFonts w:hint="eastAsia" w:ascii="Times New Roman" w:hAnsi="Times New Roman" w:eastAsia="仿宋_GB2312" w:cs="仿宋_GB2312"/>
          <w:color w:val="auto"/>
          <w:spacing w:val="0"/>
          <w:shd w:val="clear" w:color="auto" w:fill="auto"/>
        </w:rPr>
        <w:t>环境行动领导小组，</w:t>
      </w:r>
      <w:r>
        <w:rPr>
          <w:rFonts w:hint="eastAsia" w:ascii="Times New Roman" w:hAnsi="Times New Roman" w:eastAsia="仿宋_GB2312" w:cs="仿宋_GB2312"/>
          <w:color w:val="auto"/>
          <w:spacing w:val="0"/>
          <w:shd w:val="clear" w:color="auto" w:fill="auto"/>
          <w:lang w:val="en-US"/>
        </w:rPr>
        <w:t>县</w:t>
      </w:r>
      <w:r>
        <w:rPr>
          <w:rFonts w:hint="eastAsia" w:ascii="Times New Roman" w:hAnsi="Times New Roman" w:eastAsia="仿宋_GB2312" w:cs="仿宋_GB2312"/>
          <w:color w:val="auto"/>
          <w:spacing w:val="0"/>
          <w:shd w:val="clear" w:color="auto" w:fill="auto"/>
        </w:rPr>
        <w:t>委常委、常务副</w:t>
      </w:r>
      <w:r>
        <w:rPr>
          <w:rFonts w:hint="eastAsia" w:ascii="Times New Roman" w:hAnsi="Times New Roman" w:eastAsia="仿宋_GB2312" w:cs="仿宋_GB2312"/>
          <w:color w:val="auto"/>
          <w:spacing w:val="0"/>
          <w:shd w:val="clear" w:color="auto" w:fill="auto"/>
          <w:lang w:val="en-US"/>
        </w:rPr>
        <w:t>县</w:t>
      </w:r>
      <w:r>
        <w:rPr>
          <w:rFonts w:hint="eastAsia" w:ascii="Times New Roman" w:hAnsi="Times New Roman" w:eastAsia="仿宋_GB2312" w:cs="仿宋_GB2312"/>
          <w:color w:val="auto"/>
          <w:spacing w:val="0"/>
          <w:shd w:val="clear" w:color="auto" w:fill="auto"/>
        </w:rPr>
        <w:t>长</w:t>
      </w:r>
      <w:r>
        <w:rPr>
          <w:rFonts w:hint="eastAsia" w:ascii="Times New Roman" w:hAnsi="Times New Roman" w:eastAsia="仿宋_GB2312" w:cs="仿宋_GB2312"/>
          <w:color w:val="auto"/>
          <w:spacing w:val="0"/>
          <w:shd w:val="clear" w:color="auto" w:fill="auto"/>
          <w:lang w:val="en-US"/>
        </w:rPr>
        <w:t>邵爱华</w:t>
      </w:r>
      <w:r>
        <w:rPr>
          <w:rFonts w:hint="eastAsia" w:ascii="Times New Roman" w:hAnsi="Times New Roman" w:eastAsia="仿宋_GB2312" w:cs="仿宋_GB2312"/>
          <w:color w:val="auto"/>
          <w:spacing w:val="0"/>
          <w:shd w:val="clear" w:color="auto" w:fill="auto"/>
        </w:rPr>
        <w:t>同志任组长，副县长</w:t>
      </w:r>
      <w:r>
        <w:rPr>
          <w:rFonts w:hint="eastAsia" w:ascii="Times New Roman" w:hAnsi="Times New Roman" w:eastAsia="仿宋_GB2312" w:cs="仿宋_GB2312"/>
          <w:color w:val="auto"/>
          <w:spacing w:val="0"/>
          <w:shd w:val="clear" w:color="auto" w:fill="auto"/>
          <w:lang w:eastAsia="zh-CN"/>
        </w:rPr>
        <w:t>向重臣、</w:t>
      </w:r>
      <w:r>
        <w:rPr>
          <w:rFonts w:hint="eastAsia" w:ascii="Times New Roman" w:hAnsi="Times New Roman" w:eastAsia="仿宋_GB2312" w:cs="仿宋_GB2312"/>
          <w:color w:val="auto"/>
          <w:spacing w:val="0"/>
          <w:shd w:val="clear" w:color="auto" w:fill="auto"/>
        </w:rPr>
        <w:t>刘柏松、县政府办主任陈勇任副组长，</w:t>
      </w:r>
      <w:r>
        <w:rPr>
          <w:rFonts w:hint="eastAsia" w:ascii="Times New Roman" w:hAnsi="Times New Roman" w:eastAsia="仿宋_GB2312" w:cs="仿宋_GB2312"/>
          <w:color w:val="auto"/>
          <w:spacing w:val="0"/>
          <w:shd w:val="clear" w:color="auto" w:fill="auto"/>
          <w:lang w:val="en-US"/>
        </w:rPr>
        <w:t>各</w:t>
      </w:r>
      <w:r>
        <w:rPr>
          <w:rFonts w:hint="eastAsia" w:ascii="Times New Roman" w:hAnsi="Times New Roman" w:eastAsia="仿宋_GB2312" w:cs="仿宋_GB2312"/>
          <w:color w:val="auto"/>
          <w:spacing w:val="0"/>
          <w:shd w:val="clear" w:color="auto" w:fill="auto"/>
          <w:lang w:val="en-US" w:eastAsia="zh-CN"/>
        </w:rPr>
        <w:t>牵头单位和</w:t>
      </w:r>
      <w:r>
        <w:rPr>
          <w:rFonts w:hint="eastAsia" w:ascii="Times New Roman" w:hAnsi="Times New Roman" w:eastAsia="仿宋_GB2312" w:cs="仿宋_GB2312"/>
          <w:color w:val="auto"/>
          <w:spacing w:val="0"/>
          <w:shd w:val="clear" w:color="auto" w:fill="auto"/>
          <w:lang w:val="en-US"/>
        </w:rPr>
        <w:t>责任单位</w:t>
      </w:r>
      <w:r>
        <w:rPr>
          <w:rFonts w:hint="eastAsia" w:ascii="Times New Roman" w:hAnsi="Times New Roman" w:eastAsia="仿宋_GB2312" w:cs="仿宋_GB2312"/>
          <w:color w:val="auto"/>
          <w:spacing w:val="0"/>
          <w:shd w:val="clear" w:color="auto" w:fill="auto"/>
        </w:rPr>
        <w:t>领导为成员。专项行动领导小组下设办公室，陈勇任办公室主任，杨蕊、</w:t>
      </w:r>
      <w:r>
        <w:rPr>
          <w:rFonts w:hint="eastAsia" w:ascii="Times New Roman" w:hAnsi="Times New Roman" w:eastAsia="仿宋_GB2312" w:cs="仿宋_GB2312"/>
          <w:color w:val="auto"/>
          <w:spacing w:val="0"/>
          <w:shd w:val="clear" w:color="auto" w:fill="auto"/>
          <w:lang w:val="en-US"/>
        </w:rPr>
        <w:t>赵诗学</w:t>
      </w:r>
      <w:r>
        <w:rPr>
          <w:rFonts w:hint="eastAsia" w:ascii="Times New Roman" w:hAnsi="Times New Roman" w:eastAsia="仿宋_GB2312" w:cs="仿宋_GB2312"/>
          <w:color w:val="auto"/>
          <w:spacing w:val="0"/>
          <w:shd w:val="clear" w:color="auto" w:fill="auto"/>
          <w:lang w:val="en-US" w:eastAsia="zh-CN"/>
        </w:rPr>
        <w:t>、</w:t>
      </w:r>
      <w:r>
        <w:rPr>
          <w:rFonts w:hint="eastAsia" w:ascii="Times New Roman" w:hAnsi="Times New Roman" w:eastAsia="仿宋_GB2312" w:cs="仿宋_GB2312"/>
          <w:color w:val="auto"/>
          <w:spacing w:val="0"/>
          <w:shd w:val="clear" w:color="auto" w:fill="auto"/>
        </w:rPr>
        <w:t>田明桂同志任办公室副主任。</w:t>
      </w:r>
    </w:p>
    <w:p>
      <w:pPr>
        <w:keepNext w:val="0"/>
        <w:keepLines w:val="0"/>
        <w:pageBreakBefore w:val="0"/>
        <w:widowControl/>
        <w:kinsoku/>
        <w:wordWrap/>
        <w:overflowPunct/>
        <w:topLinePunct w:val="0"/>
        <w:autoSpaceDE/>
        <w:autoSpaceDN/>
        <w:bidi w:val="0"/>
        <w:adjustRightInd/>
        <w:spacing w:line="570" w:lineRule="exact"/>
        <w:ind w:left="0" w:leftChars="0" w:right="0" w:firstLine="643" w:firstLineChars="200"/>
        <w:textAlignment w:val="bottom"/>
        <w:outlineLvl w:val="9"/>
        <w:rPr>
          <w:rFonts w:hint="eastAsia" w:ascii="仿宋" w:hAnsi="仿宋" w:eastAsia="仿宋" w:cs="仿宋"/>
          <w:color w:val="auto"/>
          <w:spacing w:val="0"/>
          <w:sz w:val="32"/>
          <w:szCs w:val="32"/>
          <w:shd w:val="clear" w:color="auto" w:fill="auto"/>
          <w:lang w:val="en-US" w:eastAsia="zh-CN"/>
        </w:rPr>
      </w:pPr>
      <w:r>
        <w:rPr>
          <w:rFonts w:hint="eastAsia" w:ascii="仿宋_GB2312" w:hAnsi="仿宋_GB2312" w:eastAsia="仿宋_GB2312" w:cs="仿宋_GB2312"/>
          <w:b/>
          <w:bCs/>
          <w:color w:val="auto"/>
          <w:spacing w:val="0"/>
          <w:sz w:val="32"/>
          <w:szCs w:val="32"/>
          <w:lang w:val="en-US" w:eastAsia="zh-CN"/>
        </w:rPr>
        <w:t>12.强化工作调度和宣传引导。</w:t>
      </w:r>
      <w:r>
        <w:rPr>
          <w:rFonts w:hint="eastAsia" w:ascii="仿宋_GB2312" w:hAnsi="仿宋_GB2312" w:eastAsia="仿宋_GB2312" w:cs="仿宋_GB2312"/>
          <w:color w:val="auto"/>
          <w:spacing w:val="0"/>
          <w:sz w:val="32"/>
          <w:szCs w:val="32"/>
          <w:shd w:val="clear" w:color="auto" w:fill="auto"/>
        </w:rPr>
        <w:t>按照《县公共资源交易管理委员会议事规则（试行）》</w:t>
      </w:r>
      <w:r>
        <w:rPr>
          <w:rFonts w:hint="eastAsia" w:ascii="仿宋_GB2312" w:hAnsi="仿宋_GB2312" w:eastAsia="仿宋_GB2312" w:cs="仿宋_GB2312"/>
          <w:color w:val="auto"/>
          <w:spacing w:val="0"/>
          <w:sz w:val="32"/>
          <w:szCs w:val="32"/>
          <w:shd w:val="clear" w:color="auto" w:fill="auto"/>
          <w:lang w:eastAsia="zh-CN"/>
        </w:rPr>
        <w:t>（宣公管委</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2020</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2号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和《县公共资源交易管理委员会关于进一步明确各成员单位监管职责的通知》</w:t>
      </w:r>
      <w:r>
        <w:rPr>
          <w:rFonts w:hint="eastAsia" w:ascii="仿宋_GB2312" w:hAnsi="仿宋_GB2312" w:eastAsia="仿宋_GB2312" w:cs="仿宋_GB2312"/>
          <w:color w:val="auto"/>
          <w:spacing w:val="0"/>
          <w:sz w:val="32"/>
          <w:szCs w:val="32"/>
          <w:shd w:val="clear" w:color="auto" w:fill="auto"/>
          <w:lang w:eastAsia="zh-CN"/>
        </w:rPr>
        <w:t>（宣公管委</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2020</w:t>
      </w:r>
      <w:r>
        <w:rPr>
          <w:rFonts w:hint="eastAsia" w:ascii="仿宋_GB2312" w:hAnsi="仿宋" w:eastAsia="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eastAsia="zh-CN"/>
        </w:rPr>
        <w:t>3号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val="en-US"/>
        </w:rPr>
        <w:t>理顺交易监管体制，强化推进协同监管，形成各司其职、齐抓共管的公共资源交易监管模式。</w:t>
      </w:r>
      <w:r>
        <w:rPr>
          <w:rFonts w:hint="eastAsia" w:ascii="仿宋_GB2312" w:hAnsi="仿宋_GB2312" w:eastAsia="仿宋_GB2312" w:cs="仿宋_GB2312"/>
          <w:color w:val="auto"/>
          <w:spacing w:val="0"/>
          <w:sz w:val="32"/>
          <w:szCs w:val="32"/>
          <w:shd w:val="clear" w:color="auto" w:fill="auto"/>
          <w:lang w:val="en-US" w:eastAsia="zh-CN"/>
        </w:rPr>
        <w:t>多渠道宣传优化招标投标和政府采购工作的政策规定，积极营造良好的舆论氛围，提升行动知晓度，确保优化营商环境工作顺利推进。</w:t>
      </w:r>
    </w:p>
    <w:p>
      <w:pPr>
        <w:keepNext w:val="0"/>
        <w:keepLines w:val="0"/>
        <w:pageBreakBefore w:val="0"/>
        <w:widowControl/>
        <w:kinsoku/>
        <w:wordWrap/>
        <w:overflowPunct/>
        <w:topLinePunct w:val="0"/>
        <w:autoSpaceDE/>
        <w:autoSpaceDN/>
        <w:bidi w:val="0"/>
        <w:adjustRightInd/>
        <w:spacing w:line="570" w:lineRule="exact"/>
        <w:ind w:left="0" w:leftChars="0" w:right="0" w:firstLine="640" w:firstLineChars="200"/>
        <w:outlineLvl w:val="9"/>
        <w:rPr>
          <w:rFonts w:hint="eastAsia" w:ascii="仿宋" w:hAnsi="仿宋"/>
          <w:color w:val="auto"/>
          <w:spacing w:val="0"/>
          <w:sz w:val="32"/>
          <w:szCs w:val="32"/>
          <w:shd w:val="clear" w:color="auto" w:fill="auto"/>
          <w:lang w:eastAsia="zh-CN"/>
        </w:rPr>
      </w:pPr>
    </w:p>
    <w:p>
      <w:pPr>
        <w:pStyle w:val="2"/>
        <w:keepNext w:val="0"/>
        <w:keepLines w:val="0"/>
        <w:pageBreakBefore w:val="0"/>
        <w:kinsoku/>
        <w:wordWrap/>
        <w:overflowPunct/>
        <w:topLinePunct w:val="0"/>
        <w:autoSpaceDE/>
        <w:autoSpaceDN/>
        <w:bidi w:val="0"/>
        <w:adjustRightInd/>
        <w:spacing w:line="570" w:lineRule="exact"/>
        <w:rPr>
          <w:rFonts w:hint="eastAsia"/>
          <w:lang w:val="en-US" w:eastAsia="zh-CN"/>
        </w:rPr>
      </w:pPr>
    </w:p>
    <w:p>
      <w:pPr>
        <w:keepNext w:val="0"/>
        <w:keepLines w:val="0"/>
        <w:pageBreakBefore w:val="0"/>
        <w:kinsoku/>
        <w:wordWrap/>
        <w:overflowPunct/>
        <w:topLinePunct w:val="0"/>
        <w:autoSpaceDE/>
        <w:autoSpaceDN/>
        <w:bidi w:val="0"/>
        <w:adjustRightInd/>
        <w:spacing w:line="570" w:lineRule="exact"/>
        <w:rPr>
          <w:rFonts w:hint="eastAsia"/>
          <w:lang w:val="en-US" w:eastAsia="zh-CN"/>
        </w:rPr>
      </w:pPr>
    </w:p>
    <w:p>
      <w:pPr>
        <w:pStyle w:val="2"/>
        <w:keepNext w:val="0"/>
        <w:keepLines w:val="0"/>
        <w:pageBreakBefore w:val="0"/>
        <w:kinsoku/>
        <w:wordWrap/>
        <w:overflowPunct/>
        <w:topLinePunct w:val="0"/>
        <w:autoSpaceDE/>
        <w:autoSpaceDN/>
        <w:bidi w:val="0"/>
        <w:adjustRightInd/>
        <w:spacing w:line="570" w:lineRule="exact"/>
        <w:rPr>
          <w:rFonts w:hint="eastAsia"/>
          <w:lang w:val="en-US" w:eastAsia="zh-CN"/>
        </w:rPr>
      </w:pPr>
    </w:p>
    <w:p>
      <w:pPr>
        <w:keepNext w:val="0"/>
        <w:keepLines w:val="0"/>
        <w:pageBreakBefore w:val="0"/>
        <w:kinsoku/>
        <w:wordWrap/>
        <w:overflowPunct/>
        <w:topLinePunct w:val="0"/>
        <w:autoSpaceDE/>
        <w:autoSpaceDN/>
        <w:bidi w:val="0"/>
        <w:adjustRightInd/>
        <w:spacing w:line="570" w:lineRule="exact"/>
        <w:rPr>
          <w:rFonts w:hint="eastAsia"/>
          <w:lang w:val="en-US" w:eastAsia="zh-CN"/>
        </w:rPr>
      </w:pPr>
    </w:p>
    <w:p>
      <w:pPr>
        <w:pStyle w:val="2"/>
        <w:keepNext w:val="0"/>
        <w:keepLines w:val="0"/>
        <w:pageBreakBefore w:val="0"/>
        <w:kinsoku/>
        <w:wordWrap/>
        <w:overflowPunct/>
        <w:topLinePunct w:val="0"/>
        <w:autoSpaceDE/>
        <w:autoSpaceDN/>
        <w:bidi w:val="0"/>
        <w:adjustRightInd/>
        <w:spacing w:line="570" w:lineRule="exact"/>
        <w:rPr>
          <w:rFonts w:hint="eastAsia"/>
          <w:lang w:val="en-US" w:eastAsia="zh-CN"/>
        </w:rPr>
      </w:pPr>
    </w:p>
    <w:p>
      <w:pPr>
        <w:keepNext w:val="0"/>
        <w:keepLines w:val="0"/>
        <w:pageBreakBefore w:val="0"/>
        <w:numPr>
          <w:ilvl w:val="0"/>
          <w:numId w:val="0"/>
        </w:numPr>
        <w:kinsoku/>
        <w:wordWrap/>
        <w:overflowPunct/>
        <w:topLinePunct w:val="0"/>
        <w:autoSpaceDE/>
        <w:autoSpaceDN/>
        <w:bidi w:val="0"/>
        <w:adjustRightInd/>
        <w:spacing w:line="570" w:lineRule="exact"/>
        <w:ind w:firstLine="640" w:firstLineChars="200"/>
        <w:rPr>
          <w:rFonts w:hint="default"/>
          <w:lang w:val="en-US" w:eastAsia="zh-CN"/>
        </w:rPr>
      </w:pPr>
    </w:p>
    <w:p>
      <w:pPr>
        <w:keepNext w:val="0"/>
        <w:keepLines w:val="0"/>
        <w:pageBreakBefore w:val="0"/>
        <w:numPr>
          <w:ilvl w:val="0"/>
          <w:numId w:val="0"/>
        </w:numPr>
        <w:kinsoku/>
        <w:wordWrap/>
        <w:overflowPunct/>
        <w:topLinePunct w:val="0"/>
        <w:autoSpaceDE/>
        <w:autoSpaceDN/>
        <w:bidi w:val="0"/>
        <w:adjustRightInd/>
        <w:spacing w:line="570" w:lineRule="exact"/>
        <w:rPr>
          <w:rFonts w:hint="default"/>
          <w:lang w:val="en-US" w:eastAsia="zh-CN"/>
        </w:rPr>
      </w:pPr>
    </w:p>
    <w:p>
      <w:pPr>
        <w:pStyle w:val="2"/>
        <w:keepNext w:val="0"/>
        <w:keepLines w:val="0"/>
        <w:pageBreakBefore w:val="0"/>
        <w:kinsoku/>
        <w:wordWrap/>
        <w:overflowPunct/>
        <w:topLinePunct w:val="0"/>
        <w:autoSpaceDE/>
        <w:autoSpaceDN/>
        <w:bidi w:val="0"/>
        <w:adjustRightInd/>
        <w:spacing w:line="570" w:lineRule="exact"/>
        <w:rPr>
          <w:rFonts w:hint="default"/>
          <w:lang w:val="en-US" w:eastAsia="zh-CN"/>
        </w:rPr>
      </w:pPr>
    </w:p>
    <w:p>
      <w:pPr>
        <w:keepNext w:val="0"/>
        <w:keepLines w:val="0"/>
        <w:pageBreakBefore w:val="0"/>
        <w:widowControl/>
        <w:kinsoku/>
        <w:wordWrap/>
        <w:overflowPunct/>
        <w:topLinePunct w:val="0"/>
        <w:autoSpaceDE/>
        <w:autoSpaceDN/>
        <w:bidi w:val="0"/>
        <w:adjustRightInd/>
        <w:spacing w:line="570" w:lineRule="exact"/>
        <w:ind w:left="0" w:leftChars="0" w:right="0" w:firstLine="640" w:firstLineChars="200"/>
        <w:outlineLvl w:val="9"/>
        <w:rPr>
          <w:rFonts w:hint="default" w:ascii="仿宋" w:hAnsi="仿宋" w:eastAsia="仿宋"/>
          <w:color w:val="auto"/>
          <w:spacing w:val="0"/>
          <w:sz w:val="32"/>
          <w:szCs w:val="32"/>
          <w:shd w:val="clear" w:color="auto" w:fill="auto"/>
          <w:lang w:val="en-US" w:eastAsia="zh-CN"/>
        </w:rPr>
      </w:pPr>
    </w:p>
    <w:p>
      <w:pPr>
        <w:keepNext w:val="0"/>
        <w:keepLines w:val="0"/>
        <w:pageBreakBefore w:val="0"/>
        <w:kinsoku/>
        <w:wordWrap/>
        <w:overflowPunct/>
        <w:topLinePunct w:val="0"/>
        <w:autoSpaceDE/>
        <w:autoSpaceDN/>
        <w:bidi w:val="0"/>
        <w:adjustRightInd/>
        <w:spacing w:line="570" w:lineRule="exact"/>
        <w:rPr>
          <w:color w:val="auto"/>
          <w:spacing w:val="0"/>
        </w:rPr>
      </w:pPr>
      <w:r>
        <w:rPr>
          <w:color w:val="auto"/>
          <w:spacing w:val="0"/>
        </w:rPr>
        <w:br w:type="page"/>
      </w:r>
    </w:p>
    <w:p>
      <w:pPr>
        <w:keepNext w:val="0"/>
        <w:keepLines w:val="0"/>
        <w:pageBreakBefore w:val="0"/>
        <w:kinsoku/>
        <w:wordWrap/>
        <w:overflowPunct/>
        <w:topLinePunct w:val="0"/>
        <w:autoSpaceDE/>
        <w:autoSpaceDN/>
        <w:bidi w:val="0"/>
        <w:adjustRightInd/>
        <w:spacing w:line="570" w:lineRule="exact"/>
        <w:ind w:right="0"/>
        <w:jc w:val="left"/>
        <w:rPr>
          <w:rFonts w:ascii="宋体" w:hAnsi="宋体" w:eastAsia="宋体" w:cs="宋体"/>
          <w:color w:val="auto"/>
          <w:spacing w:val="0"/>
          <w:sz w:val="36"/>
        </w:rPr>
      </w:pPr>
      <w:r>
        <w:rPr>
          <w:rFonts w:hint="eastAsia" w:ascii="黑体" w:hAnsi="黑体" w:eastAsia="黑体" w:cs="黑体"/>
          <w:color w:val="auto"/>
          <w:spacing w:val="0"/>
          <w:sz w:val="32"/>
          <w:szCs w:val="32"/>
          <w:lang w:eastAsia="zh-CN"/>
        </w:rPr>
        <w:t>附件</w:t>
      </w:r>
      <w:r>
        <w:rPr>
          <w:rFonts w:hint="eastAsia" w:ascii="黑体" w:hAnsi="黑体" w:eastAsia="黑体" w:cs="黑体"/>
          <w:color w:val="auto"/>
          <w:spacing w:val="0"/>
          <w:sz w:val="32"/>
          <w:szCs w:val="32"/>
          <w:lang w:val="en-US" w:eastAsia="zh-CN"/>
        </w:rPr>
        <w:t>1：</w: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r>
        <w:rPr>
          <w:rFonts w:hint="eastAsia" w:ascii="方正小标宋简体" w:hAnsi="方正小标宋简体" w:eastAsia="方正小标宋简体" w:cs="方正小标宋简体"/>
          <w:color w:val="auto"/>
          <w:spacing w:val="0"/>
          <w:sz w:val="44"/>
          <w:szCs w:val="44"/>
        </w:rPr>
        <w:t>宣恩县政府采购工程非招标方式</w: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r>
        <w:rPr>
          <w:rFonts w:hint="eastAsia" w:ascii="方正小标宋简体" w:hAnsi="方正小标宋简体" w:eastAsia="方正小标宋简体" w:cs="方正小标宋简体"/>
          <w:color w:val="auto"/>
          <w:spacing w:val="0"/>
          <w:sz w:val="44"/>
          <w:szCs w:val="44"/>
        </w:rPr>
        <w:t>管理（暂行）办法</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hint="eastAsia" w:ascii="仿宋_GB2312" w:hAnsi="仿宋_GB2312" w:eastAsia="仿宋_GB2312" w:cs="仿宋_GB2312"/>
          <w:color w:val="auto"/>
          <w:spacing w:val="0"/>
          <w:sz w:val="32"/>
        </w:rPr>
      </w:pPr>
      <w:r>
        <w:rPr>
          <w:rFonts w:hint="eastAsia" w:ascii="仿宋_GB2312" w:hAnsi="仿宋_GB2312" w:eastAsia="仿宋_GB2312" w:cs="仿宋_GB2312"/>
          <w:color w:val="auto"/>
          <w:spacing w:val="0"/>
          <w:sz w:val="32"/>
        </w:rPr>
        <w:t>为规范我县政府采购活动，加强对工程采用非招标方式活动的监督管理，维护国家利益、社会公共利益和采购人的合法权益，依据《政府采购法》及其实施条例和其他法律、法规的有关规定，制定本办法。</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一</w:t>
      </w:r>
      <w:r>
        <w:rPr>
          <w:rFonts w:ascii="黑体" w:hAnsi="黑体" w:eastAsia="黑体" w:cs="黑体"/>
          <w:color w:val="auto"/>
          <w:spacing w:val="0"/>
          <w:sz w:val="32"/>
        </w:rPr>
        <w:t>条</w:t>
      </w:r>
      <w:r>
        <w:rPr>
          <w:rFonts w:ascii="仿宋" w:hAnsi="仿宋" w:eastAsia="仿宋" w:cs="仿宋"/>
          <w:color w:val="auto"/>
          <w:spacing w:val="0"/>
          <w:sz w:val="32"/>
        </w:rPr>
        <w:t xml:space="preserve"> </w:t>
      </w:r>
      <w:r>
        <w:rPr>
          <w:rFonts w:hint="eastAsia" w:ascii="仿宋_GB2312" w:hAnsi="仿宋_GB2312" w:eastAsia="仿宋_GB2312" w:cs="仿宋_GB2312"/>
          <w:color w:val="auto"/>
          <w:spacing w:val="0"/>
          <w:sz w:val="32"/>
        </w:rPr>
        <w:t>本县行政区域内的行政机关、事业单位或者其它组织使用国有资金投资的非招标工程项目适用本办法。</w:t>
      </w:r>
      <w:r>
        <w:rPr>
          <w:rFonts w:ascii="仿宋" w:hAnsi="仿宋" w:eastAsia="仿宋" w:cs="仿宋"/>
          <w:color w:val="auto"/>
          <w:spacing w:val="0"/>
          <w:sz w:val="32"/>
        </w:rPr>
        <w:t xml:space="preserve"> </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hint="eastAsia" w:ascii="仿宋_GB2312" w:hAnsi="仿宋_GB2312" w:eastAsia="仿宋_GB2312" w:cs="仿宋_GB2312"/>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二</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rPr>
        <w:t>本办法所称非招标采购方式，是指</w:t>
      </w:r>
      <w:r>
        <w:rPr>
          <w:rFonts w:hint="eastAsia" w:ascii="仿宋_GB2312" w:hAnsi="仿宋_GB2312" w:eastAsia="仿宋_GB2312" w:cs="仿宋_GB2312"/>
          <w:color w:val="auto"/>
          <w:spacing w:val="0"/>
          <w:sz w:val="32"/>
          <w:lang w:eastAsia="zh-CN"/>
        </w:rPr>
        <w:t>根据不同限额，采用集体决策直接发包、</w:t>
      </w:r>
      <w:r>
        <w:rPr>
          <w:rFonts w:hint="eastAsia" w:ascii="仿宋_GB2312" w:hAnsi="仿宋_GB2312" w:eastAsia="仿宋_GB2312" w:cs="仿宋_GB2312"/>
          <w:color w:val="auto"/>
          <w:spacing w:val="0"/>
          <w:sz w:val="32"/>
        </w:rPr>
        <w:t>竞争性谈判、竞争性磋商方式</w:t>
      </w:r>
      <w:r>
        <w:rPr>
          <w:rFonts w:hint="eastAsia" w:ascii="仿宋_GB2312" w:hAnsi="仿宋_GB2312" w:eastAsia="仿宋_GB2312" w:cs="仿宋_GB2312"/>
          <w:color w:val="auto"/>
          <w:spacing w:val="0"/>
          <w:sz w:val="32"/>
          <w:lang w:eastAsia="zh-CN"/>
        </w:rPr>
        <w:t>进行采购</w:t>
      </w:r>
      <w:r>
        <w:rPr>
          <w:rFonts w:hint="eastAsia" w:ascii="仿宋_GB2312" w:hAnsi="仿宋_GB2312" w:eastAsia="仿宋_GB2312" w:cs="仿宋_GB2312"/>
          <w:color w:val="auto"/>
          <w:spacing w:val="0"/>
          <w:sz w:val="32"/>
        </w:rPr>
        <w:t>。</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hint="eastAsia" w:ascii="仿宋_GB2312" w:hAnsi="仿宋_GB2312" w:eastAsia="仿宋_GB2312" w:cs="仿宋_GB2312"/>
          <w:color w:val="auto"/>
          <w:spacing w:val="0"/>
          <w:sz w:val="32"/>
          <w:lang w:val="zh-CN" w:eastAsia="zh-CN"/>
        </w:rPr>
      </w:pPr>
      <w:r>
        <w:rPr>
          <w:rFonts w:ascii="黑体" w:hAnsi="黑体" w:eastAsia="黑体" w:cs="黑体"/>
          <w:color w:val="auto"/>
          <w:spacing w:val="0"/>
          <w:sz w:val="32"/>
        </w:rPr>
        <w:t>第</w:t>
      </w:r>
      <w:r>
        <w:rPr>
          <w:rFonts w:hint="eastAsia" w:ascii="黑体" w:hAnsi="黑体" w:eastAsia="黑体" w:cs="黑体"/>
          <w:color w:val="auto"/>
          <w:spacing w:val="0"/>
          <w:sz w:val="32"/>
        </w:rPr>
        <w:t>三</w:t>
      </w:r>
      <w:r>
        <w:rPr>
          <w:rFonts w:ascii="黑体" w:hAnsi="黑体" w:eastAsia="黑体" w:cs="黑体"/>
          <w:color w:val="auto"/>
          <w:spacing w:val="0"/>
          <w:sz w:val="32"/>
        </w:rPr>
        <w:t>条</w:t>
      </w:r>
      <w:r>
        <w:rPr>
          <w:rFonts w:ascii="黑体" w:hAnsi="黑体" w:eastAsia="黑体" w:cs="黑体"/>
          <w:color w:val="auto"/>
          <w:spacing w:val="0"/>
          <w:sz w:val="28"/>
        </w:rPr>
        <w:t xml:space="preserve"> </w:t>
      </w:r>
      <w:r>
        <w:rPr>
          <w:rFonts w:hint="eastAsia" w:ascii="仿宋_GB2312" w:hAnsi="仿宋_GB2312" w:eastAsia="仿宋_GB2312" w:cs="仿宋_GB2312"/>
          <w:color w:val="auto"/>
          <w:spacing w:val="0"/>
          <w:sz w:val="32"/>
        </w:rPr>
        <w:t>本办法的工程</w:t>
      </w:r>
      <w:r>
        <w:rPr>
          <w:rFonts w:hint="eastAsia" w:ascii="仿宋_GB2312" w:hAnsi="仿宋_GB2312" w:eastAsia="仿宋_GB2312" w:cs="仿宋_GB2312"/>
          <w:color w:val="auto"/>
          <w:spacing w:val="0"/>
          <w:sz w:val="32"/>
          <w:lang w:eastAsia="zh-CN"/>
        </w:rPr>
        <w:t>采购</w:t>
      </w:r>
      <w:r>
        <w:rPr>
          <w:rFonts w:hint="eastAsia" w:ascii="仿宋_GB2312" w:hAnsi="仿宋_GB2312" w:eastAsia="仿宋_GB2312" w:cs="仿宋_GB2312"/>
          <w:color w:val="auto"/>
          <w:spacing w:val="0"/>
          <w:sz w:val="32"/>
        </w:rPr>
        <w:t>是指</w:t>
      </w:r>
      <w:r>
        <w:rPr>
          <w:rFonts w:hint="eastAsia" w:ascii="仿宋_GB2312" w:hAnsi="仿宋_GB2312" w:eastAsia="仿宋_GB2312" w:cs="仿宋_GB2312"/>
          <w:color w:val="auto"/>
          <w:spacing w:val="0"/>
          <w:sz w:val="32"/>
          <w:lang w:eastAsia="zh-CN"/>
        </w:rPr>
        <w:t>：</w:t>
      </w:r>
      <w:r>
        <w:rPr>
          <w:rFonts w:hint="eastAsia" w:ascii="仿宋_GB2312" w:hAnsi="仿宋_GB2312" w:eastAsia="仿宋_GB2312" w:cs="仿宋_GB2312"/>
          <w:color w:val="auto"/>
          <w:spacing w:val="0"/>
          <w:sz w:val="32"/>
          <w:lang w:val="zh-CN" w:eastAsia="zh-CN"/>
        </w:rPr>
        <w:t>⑴县本级及县辖区政府采购目录以外的</w:t>
      </w:r>
      <w:r>
        <w:rPr>
          <w:rFonts w:hint="eastAsia" w:ascii="仿宋_GB2312" w:hAnsi="仿宋_GB2312" w:eastAsia="仿宋_GB2312" w:cs="仿宋_GB2312"/>
          <w:color w:val="auto"/>
          <w:spacing w:val="0"/>
          <w:sz w:val="32"/>
          <w:lang w:val="en-US" w:eastAsia="zh-CN"/>
        </w:rPr>
        <w:t>100万元以下的工程建设项目，</w:t>
      </w:r>
      <w:r>
        <w:rPr>
          <w:rFonts w:hint="eastAsia" w:ascii="仿宋_GB2312" w:hAnsi="仿宋_GB2312" w:eastAsia="仿宋_GB2312" w:cs="仿宋_GB2312"/>
          <w:color w:val="auto"/>
          <w:spacing w:val="0"/>
          <w:sz w:val="32"/>
          <w:lang w:val="zh-CN" w:eastAsia="zh-CN"/>
        </w:rPr>
        <w:t>重要设备材料等工程货物采购单项合同估算价在</w:t>
      </w:r>
      <w:r>
        <w:rPr>
          <w:rFonts w:hint="eastAsia" w:ascii="仿宋_GB2312" w:hAnsi="仿宋_GB2312" w:eastAsia="仿宋_GB2312" w:cs="仿宋_GB2312"/>
          <w:color w:val="auto"/>
          <w:spacing w:val="0"/>
          <w:sz w:val="32"/>
          <w:lang w:val="en-US" w:eastAsia="zh-CN"/>
        </w:rPr>
        <w:t>1</w:t>
      </w:r>
      <w:r>
        <w:rPr>
          <w:rFonts w:hint="eastAsia" w:ascii="仿宋_GB2312" w:hAnsi="仿宋_GB2312" w:eastAsia="仿宋_GB2312" w:cs="仿宋_GB2312"/>
          <w:color w:val="auto"/>
          <w:spacing w:val="0"/>
          <w:sz w:val="32"/>
          <w:lang w:val="zh-CN" w:eastAsia="zh-CN"/>
        </w:rPr>
        <w:t>00万元（不含）人民币以内和勘察设计监理等工程服务采购单项合同估算价在100万元（不含）人民币以内的项目。按照本单位招投标（政府采购）管理制度或“三重一大”规定经班子集体讨论决定直接发包。⑵依法非必须招标的项目，即施工单项合同估算价在</w:t>
      </w:r>
      <w:r>
        <w:rPr>
          <w:rFonts w:hint="eastAsia" w:ascii="仿宋_GB2312" w:hAnsi="仿宋_GB2312" w:eastAsia="仿宋_GB2312" w:cs="仿宋_GB2312"/>
          <w:color w:val="auto"/>
          <w:spacing w:val="0"/>
          <w:sz w:val="32"/>
          <w:lang w:val="en-US" w:eastAsia="zh-CN"/>
        </w:rPr>
        <w:t>100万元（含）至</w:t>
      </w:r>
      <w:r>
        <w:rPr>
          <w:rFonts w:hint="eastAsia" w:ascii="仿宋_GB2312" w:hAnsi="仿宋_GB2312" w:eastAsia="仿宋_GB2312" w:cs="仿宋_GB2312"/>
          <w:color w:val="auto"/>
          <w:spacing w:val="0"/>
          <w:sz w:val="32"/>
          <w:lang w:val="zh-CN" w:eastAsia="zh-CN"/>
        </w:rPr>
        <w:t>400万元（不含）人民币以内、重要设备材料等工程货物采购单项合同估算价在</w:t>
      </w:r>
      <w:r>
        <w:rPr>
          <w:rFonts w:hint="eastAsia" w:ascii="仿宋_GB2312" w:hAnsi="仿宋_GB2312" w:eastAsia="仿宋_GB2312" w:cs="仿宋_GB2312"/>
          <w:color w:val="auto"/>
          <w:spacing w:val="0"/>
          <w:sz w:val="32"/>
          <w:lang w:val="en-US" w:eastAsia="zh-CN"/>
        </w:rPr>
        <w:t>100（含）至</w:t>
      </w:r>
      <w:r>
        <w:rPr>
          <w:rFonts w:hint="eastAsia" w:ascii="仿宋_GB2312" w:hAnsi="仿宋_GB2312" w:eastAsia="仿宋_GB2312" w:cs="仿宋_GB2312"/>
          <w:color w:val="auto"/>
          <w:spacing w:val="0"/>
          <w:sz w:val="32"/>
          <w:lang w:val="zh-CN" w:eastAsia="zh-CN"/>
        </w:rPr>
        <w:t>200万元（不含）人民币以内</w:t>
      </w:r>
      <w:r>
        <w:rPr>
          <w:rFonts w:hint="eastAsia" w:ascii="仿宋_GB2312" w:hAnsi="仿宋_GB2312" w:eastAsia="仿宋_GB2312" w:cs="仿宋_GB2312"/>
          <w:color w:val="auto"/>
          <w:spacing w:val="0"/>
          <w:sz w:val="32"/>
          <w:lang w:eastAsia="zh-CN"/>
        </w:rPr>
        <w:t>的工程建设项目，采用竞争性谈判、竞争性磋商方式采购。</w:t>
      </w:r>
      <w:r>
        <w:rPr>
          <w:rFonts w:hint="eastAsia" w:ascii="仿宋_GB2312" w:hAnsi="仿宋_GB2312" w:eastAsia="仿宋_GB2312" w:cs="仿宋_GB2312"/>
          <w:color w:val="auto"/>
          <w:spacing w:val="0"/>
          <w:sz w:val="32"/>
          <w:lang w:val="zh-CN" w:eastAsia="zh-CN"/>
        </w:rPr>
        <w:t>以上范围内的工程建设项目，在同等条件下县内企业优先。</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hint="eastAsia" w:ascii="黑体" w:hAnsi="黑体" w:eastAsia="黑体" w:cs="黑体"/>
          <w:color w:val="auto"/>
          <w:spacing w:val="0"/>
          <w:sz w:val="32"/>
        </w:rPr>
        <w:t>第四条</w:t>
      </w:r>
      <w:r>
        <w:rPr>
          <w:rFonts w:hint="eastAsia" w:ascii="仿宋" w:hAnsi="仿宋" w:eastAsia="仿宋" w:cs="仿宋"/>
          <w:color w:val="auto"/>
          <w:spacing w:val="0"/>
          <w:sz w:val="32"/>
        </w:rPr>
        <w:t xml:space="preserve"> </w:t>
      </w:r>
      <w:r>
        <w:rPr>
          <w:rFonts w:hint="eastAsia" w:ascii="仿宋_GB2312" w:hAnsi="仿宋_GB2312" w:eastAsia="仿宋_GB2312" w:cs="仿宋_GB2312"/>
          <w:color w:val="auto"/>
          <w:spacing w:val="0"/>
          <w:sz w:val="32"/>
        </w:rPr>
        <w:t>采用非招标方式采购工程项目的，属于分散采购，采购人</w:t>
      </w:r>
      <w:r>
        <w:rPr>
          <w:rFonts w:hint="eastAsia" w:ascii="仿宋_GB2312" w:hAnsi="仿宋_GB2312" w:eastAsia="仿宋_GB2312" w:cs="仿宋_GB2312"/>
          <w:color w:val="auto"/>
          <w:spacing w:val="0"/>
          <w:sz w:val="32"/>
          <w:lang w:eastAsia="zh-CN"/>
        </w:rPr>
        <w:t>应</w:t>
      </w:r>
      <w:r>
        <w:rPr>
          <w:rFonts w:hint="eastAsia" w:ascii="仿宋_GB2312" w:hAnsi="仿宋_GB2312" w:eastAsia="仿宋_GB2312" w:cs="仿宋_GB2312"/>
          <w:color w:val="auto"/>
          <w:spacing w:val="0"/>
          <w:sz w:val="32"/>
        </w:rPr>
        <w:t>委托代理机构</w:t>
      </w:r>
      <w:r>
        <w:rPr>
          <w:rFonts w:hint="eastAsia" w:ascii="仿宋_GB2312" w:hAnsi="仿宋_GB2312" w:eastAsia="仿宋_GB2312" w:cs="仿宋_GB2312"/>
          <w:color w:val="auto"/>
          <w:spacing w:val="0"/>
          <w:sz w:val="32"/>
          <w:lang w:eastAsia="zh-CN"/>
        </w:rPr>
        <w:t>进行</w:t>
      </w:r>
      <w:r>
        <w:rPr>
          <w:rFonts w:hint="eastAsia" w:ascii="仿宋_GB2312" w:hAnsi="仿宋_GB2312" w:eastAsia="仿宋_GB2312" w:cs="仿宋_GB2312"/>
          <w:color w:val="auto"/>
          <w:spacing w:val="0"/>
          <w:sz w:val="32"/>
        </w:rPr>
        <w:t>采购。</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五</w:t>
      </w:r>
      <w:r>
        <w:rPr>
          <w:rFonts w:ascii="黑体" w:hAnsi="黑体" w:eastAsia="黑体" w:cs="黑体"/>
          <w:color w:val="auto"/>
          <w:spacing w:val="0"/>
          <w:sz w:val="32"/>
        </w:rPr>
        <w:t>条</w:t>
      </w:r>
      <w:r>
        <w:rPr>
          <w:rFonts w:ascii="黑体" w:hAnsi="黑体" w:eastAsia="黑体" w:cs="黑体"/>
          <w:color w:val="auto"/>
          <w:spacing w:val="0"/>
          <w:sz w:val="28"/>
        </w:rPr>
        <w:t xml:space="preserve"> </w:t>
      </w:r>
      <w:r>
        <w:rPr>
          <w:rFonts w:hint="eastAsia" w:ascii="仿宋_GB2312" w:hAnsi="仿宋_GB2312" w:eastAsia="仿宋_GB2312" w:cs="仿宋_GB2312"/>
          <w:color w:val="auto"/>
          <w:spacing w:val="0"/>
          <w:sz w:val="32"/>
        </w:rPr>
        <w:t>采用竞争性（蹉商）方式采购的，谈判（磋商）小组由采购人代表和评审专家共三人以上的单数组成，其中评审专家的人数不少于成员总数的2/3。采用上述两种采购方式进行政府采购的采购人不得以评审专家身份参加本部门或者本单位采购项目的评审。</w:t>
      </w:r>
      <w:r>
        <w:rPr>
          <w:rFonts w:ascii="仿宋" w:hAnsi="仿宋" w:eastAsia="仿宋" w:cs="仿宋"/>
          <w:color w:val="auto"/>
          <w:spacing w:val="0"/>
          <w:sz w:val="32"/>
        </w:rPr>
        <w:t xml:space="preserve"> </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六</w:t>
      </w:r>
      <w:r>
        <w:rPr>
          <w:rFonts w:ascii="黑体" w:hAnsi="黑体" w:eastAsia="黑体" w:cs="黑体"/>
          <w:color w:val="auto"/>
          <w:spacing w:val="0"/>
          <w:sz w:val="32"/>
        </w:rPr>
        <w:t>条</w:t>
      </w:r>
      <w:r>
        <w:rPr>
          <w:rFonts w:ascii="黑体" w:hAnsi="黑体" w:eastAsia="黑体" w:cs="黑体"/>
          <w:color w:val="auto"/>
          <w:spacing w:val="0"/>
          <w:sz w:val="28"/>
        </w:rPr>
        <w:t xml:space="preserve"> </w:t>
      </w:r>
      <w:r>
        <w:rPr>
          <w:rFonts w:hint="eastAsia" w:ascii="仿宋_GB2312" w:hAnsi="仿宋_GB2312" w:eastAsia="仿宋_GB2312" w:cs="仿宋_GB2312"/>
          <w:color w:val="auto"/>
          <w:spacing w:val="0"/>
          <w:sz w:val="32"/>
        </w:rPr>
        <w:t>竞争性谈判从谈判文件发出之日起至供应商提交首次响应文件截止之日止不得少于3个工作日。竞争性磋商从竞争性磋商文件发出之日起至供应商提交首次响应文件截止之日止，不得少于10日。</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七</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rPr>
        <w:t>采购人是本单位政府采购预算执行的主体，具体</w:t>
      </w:r>
      <w:r>
        <w:rPr>
          <w:rFonts w:hint="eastAsia" w:ascii="仿宋_GB2312" w:hAnsi="仿宋_GB2312" w:eastAsia="仿宋_GB2312" w:cs="仿宋_GB2312"/>
          <w:color w:val="auto"/>
          <w:spacing w:val="0"/>
          <w:sz w:val="32"/>
          <w:lang w:eastAsia="zh-CN"/>
        </w:rPr>
        <w:t>组织实施</w:t>
      </w:r>
      <w:r>
        <w:rPr>
          <w:rFonts w:hint="eastAsia" w:ascii="仿宋_GB2312" w:hAnsi="仿宋_GB2312" w:eastAsia="仿宋_GB2312" w:cs="仿宋_GB2312"/>
          <w:color w:val="auto"/>
          <w:spacing w:val="0"/>
          <w:sz w:val="32"/>
        </w:rPr>
        <w:t>工程的地勘、设计、图审、预算、投资评审、招标、开标、合同签订、项目的竣工验收</w:t>
      </w:r>
      <w:r>
        <w:rPr>
          <w:rFonts w:hint="eastAsia" w:ascii="仿宋_GB2312" w:hAnsi="仿宋_GB2312" w:eastAsia="仿宋_GB2312" w:cs="仿宋_GB2312"/>
          <w:color w:val="auto"/>
          <w:spacing w:val="0"/>
          <w:sz w:val="32"/>
          <w:lang w:eastAsia="zh-CN"/>
        </w:rPr>
        <w:t>，</w:t>
      </w:r>
      <w:r>
        <w:rPr>
          <w:rFonts w:hint="eastAsia" w:ascii="仿宋_GB2312" w:hAnsi="仿宋_GB2312" w:eastAsia="仿宋_GB2312" w:cs="仿宋_GB2312"/>
          <w:color w:val="auto"/>
          <w:spacing w:val="0"/>
          <w:sz w:val="32"/>
        </w:rPr>
        <w:t>监督成交供应商施工管理，对项目的安全和质量负主体责任。</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八</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lang w:val="zh-CN" w:eastAsia="zh-CN"/>
        </w:rPr>
        <w:t>采用非招标方式采购的工程项目，采购人承担主体责任，相关行业监管部门履行行业监管职责，财政局实行综合监管。</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jc w:val="left"/>
        <w:rPr>
          <w:rFonts w:hint="eastAsia" w:ascii="仿宋_GB2312" w:hAnsi="仿宋_GB2312" w:eastAsia="仿宋_GB2312" w:cs="仿宋_GB2312"/>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九</w:t>
      </w:r>
      <w:r>
        <w:rPr>
          <w:rFonts w:ascii="黑体" w:hAnsi="黑体" w:eastAsia="黑体" w:cs="黑体"/>
          <w:color w:val="auto"/>
          <w:spacing w:val="0"/>
          <w:sz w:val="32"/>
        </w:rPr>
        <w:t>条</w:t>
      </w:r>
      <w:r>
        <w:rPr>
          <w:rFonts w:hint="eastAsia" w:ascii="黑体" w:hAnsi="黑体" w:eastAsia="黑体" w:cs="黑体"/>
          <w:color w:val="auto"/>
          <w:spacing w:val="0"/>
          <w:sz w:val="32"/>
        </w:rPr>
        <w:t xml:space="preserve"> </w:t>
      </w:r>
      <w:r>
        <w:rPr>
          <w:rFonts w:hint="eastAsia" w:ascii="仿宋_GB2312" w:hAnsi="仿宋_GB2312" w:eastAsia="仿宋_GB2312" w:cs="仿宋_GB2312"/>
          <w:color w:val="auto"/>
          <w:spacing w:val="0"/>
          <w:sz w:val="32"/>
        </w:rPr>
        <w:t>财政部令（第74号）规定的法律责任，本办法从其规定。</w:t>
      </w:r>
    </w:p>
    <w:p>
      <w:pPr>
        <w:keepNext w:val="0"/>
        <w:keepLines w:val="0"/>
        <w:pageBreakBefore w:val="0"/>
        <w:kinsoku/>
        <w:wordWrap/>
        <w:overflowPunct/>
        <w:topLinePunct w:val="0"/>
        <w:autoSpaceDE/>
        <w:autoSpaceDN/>
        <w:bidi w:val="0"/>
        <w:adjustRightInd/>
        <w:spacing w:line="570" w:lineRule="exact"/>
        <w:ind w:left="0" w:leftChars="0" w:right="0" w:firstLine="2880" w:firstLineChars="900"/>
        <w:jc w:val="left"/>
        <w:rPr>
          <w:rFonts w:hint="eastAsia" w:ascii="仿宋_GB2312" w:hAnsi="仿宋_GB2312" w:eastAsia="仿宋_GB2312" w:cs="仿宋_GB2312"/>
          <w:color w:val="auto"/>
          <w:spacing w:val="0"/>
          <w:sz w:val="32"/>
        </w:rPr>
      </w:pPr>
      <w:r>
        <w:rPr>
          <w:rFonts w:hint="eastAsia" w:ascii="仿宋_GB2312" w:hAnsi="仿宋_GB2312" w:eastAsia="仿宋_GB2312" w:cs="仿宋_GB2312"/>
          <w:color w:val="auto"/>
          <w:spacing w:val="0"/>
          <w:sz w:val="32"/>
        </w:rPr>
        <w:t>宣恩县公共资源交易管理委员会</w:t>
      </w:r>
    </w:p>
    <w:p>
      <w:pPr>
        <w:keepNext w:val="0"/>
        <w:keepLines w:val="0"/>
        <w:pageBreakBefore w:val="0"/>
        <w:kinsoku/>
        <w:wordWrap/>
        <w:overflowPunct/>
        <w:topLinePunct w:val="0"/>
        <w:autoSpaceDE/>
        <w:autoSpaceDN/>
        <w:bidi w:val="0"/>
        <w:adjustRightInd/>
        <w:spacing w:line="570" w:lineRule="exact"/>
        <w:ind w:left="0" w:leftChars="0" w:right="0" w:firstLine="4160" w:firstLineChars="1300"/>
        <w:jc w:val="left"/>
        <w:rPr>
          <w:rFonts w:hint="eastAsia" w:ascii="仿宋_GB2312" w:hAnsi="仿宋_GB2312" w:eastAsia="仿宋_GB2312" w:cs="仿宋_GB2312"/>
          <w:color w:val="auto"/>
          <w:spacing w:val="0"/>
          <w:sz w:val="32"/>
        </w:rPr>
      </w:pPr>
      <w:r>
        <w:rPr>
          <w:rFonts w:hint="eastAsia" w:ascii="仿宋_GB2312" w:hAnsi="仿宋_GB2312" w:eastAsia="仿宋_GB2312" w:cs="仿宋_GB2312"/>
          <w:color w:val="auto"/>
          <w:spacing w:val="0"/>
          <w:sz w:val="32"/>
        </w:rPr>
        <w:t>2020年</w:t>
      </w:r>
      <w:r>
        <w:rPr>
          <w:rFonts w:hint="eastAsia" w:ascii="仿宋_GB2312" w:hAnsi="仿宋_GB2312" w:eastAsia="仿宋_GB2312" w:cs="仿宋_GB2312"/>
          <w:color w:val="auto"/>
          <w:spacing w:val="0"/>
          <w:sz w:val="32"/>
          <w:lang w:val="en-US" w:eastAsia="zh-CN"/>
        </w:rPr>
        <w:t>10</w:t>
      </w:r>
      <w:r>
        <w:rPr>
          <w:rFonts w:hint="eastAsia" w:ascii="仿宋_GB2312" w:hAnsi="仿宋_GB2312" w:eastAsia="仿宋_GB2312" w:cs="仿宋_GB2312"/>
          <w:color w:val="auto"/>
          <w:spacing w:val="0"/>
          <w:sz w:val="32"/>
        </w:rPr>
        <w:t>月</w:t>
      </w:r>
      <w:r>
        <w:rPr>
          <w:rFonts w:hint="eastAsia" w:ascii="仿宋_GB2312" w:hAnsi="仿宋_GB2312" w:eastAsia="仿宋_GB2312" w:cs="仿宋_GB2312"/>
          <w:color w:val="auto"/>
          <w:spacing w:val="0"/>
          <w:sz w:val="32"/>
          <w:lang w:val="en-US" w:eastAsia="zh-CN"/>
        </w:rPr>
        <w:t xml:space="preserve"> </w:t>
      </w:r>
      <w:r>
        <w:rPr>
          <w:rFonts w:hint="eastAsia" w:ascii="仿宋_GB2312" w:hAnsi="仿宋_GB2312" w:eastAsia="仿宋_GB2312" w:cs="仿宋_GB2312"/>
          <w:color w:val="auto"/>
          <w:spacing w:val="0"/>
          <w:sz w:val="32"/>
        </w:rPr>
        <w:t>日</w:t>
      </w:r>
    </w:p>
    <w:p>
      <w:pPr>
        <w:keepNext w:val="0"/>
        <w:keepLines w:val="0"/>
        <w:pageBreakBefore w:val="0"/>
        <w:widowControl/>
        <w:kinsoku/>
        <w:wordWrap/>
        <w:overflowPunct/>
        <w:topLinePunct w:val="0"/>
        <w:autoSpaceDE/>
        <w:autoSpaceDN/>
        <w:bidi w:val="0"/>
        <w:adjustRightInd/>
        <w:spacing w:line="570" w:lineRule="exact"/>
        <w:ind w:right="0"/>
        <w:jc w:val="left"/>
        <w:rPr>
          <w:rFonts w:hint="default" w:ascii="黑体" w:hAnsi="黑体" w:eastAsia="黑体" w:cs="黑体"/>
          <w:b w:val="0"/>
          <w:bCs/>
          <w:color w:val="auto"/>
          <w:spacing w:val="0"/>
          <w:sz w:val="32"/>
          <w:szCs w:val="32"/>
          <w:shd w:val="clear" w:color="auto" w:fill="auto"/>
          <w:lang w:val="en-US" w:eastAsia="zh-CN" w:bidi="ar"/>
        </w:rPr>
      </w:pPr>
      <w:r>
        <w:rPr>
          <w:rFonts w:hint="eastAsia" w:ascii="黑体" w:hAnsi="黑体" w:eastAsia="黑体" w:cs="黑体"/>
          <w:b w:val="0"/>
          <w:bCs/>
          <w:color w:val="auto"/>
          <w:spacing w:val="0"/>
          <w:sz w:val="32"/>
          <w:szCs w:val="32"/>
          <w:shd w:val="clear" w:color="auto" w:fill="auto"/>
          <w:lang w:val="en-US" w:eastAsia="zh-CN" w:bidi="ar"/>
        </w:rPr>
        <w:t>附件2</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720" w:firstLineChars="200"/>
        <w:jc w:val="center"/>
        <w:textAlignment w:val="auto"/>
        <w:rPr>
          <w:rFonts w:hint="eastAsia" w:ascii="方正小标宋简体" w:hAnsi="方正小标宋简体" w:eastAsia="方正小标宋简体" w:cs="方正小标宋简体"/>
          <w:color w:val="auto"/>
          <w:spacing w:val="0"/>
          <w:sz w:val="36"/>
          <w:szCs w:val="36"/>
          <w:shd w:val="clear" w:color="auto" w:fill="auto"/>
          <w:lang w:eastAsia="zh-CN"/>
        </w:rPr>
      </w:pP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color w:val="auto"/>
          <w:spacing w:val="0"/>
          <w:sz w:val="44"/>
          <w:szCs w:val="44"/>
          <w:shd w:val="clear" w:color="auto" w:fill="auto"/>
          <w:lang w:val="en-US" w:eastAsia="zh-CN"/>
        </w:rPr>
      </w:pPr>
      <w:r>
        <w:rPr>
          <w:rFonts w:hint="eastAsia" w:ascii="方正小标宋简体" w:hAnsi="方正小标宋简体" w:eastAsia="方正小标宋简体" w:cs="方正小标宋简体"/>
          <w:color w:val="auto"/>
          <w:spacing w:val="0"/>
          <w:sz w:val="44"/>
          <w:szCs w:val="44"/>
          <w:shd w:val="clear" w:color="auto" w:fill="auto"/>
          <w:lang w:eastAsia="zh-CN"/>
        </w:rPr>
        <w:t>宣恩县建设工程招投标评定分离定标工作指导（试行）规则</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lang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eastAsia="zh-CN"/>
        </w:rPr>
        <w:t>根据</w:t>
      </w:r>
      <w:r>
        <w:rPr>
          <w:rFonts w:hint="eastAsia" w:ascii="仿宋_GB2312" w:hAnsi="仿宋_GB2312" w:eastAsia="仿宋_GB2312" w:cs="仿宋_GB2312"/>
          <w:color w:val="auto"/>
          <w:spacing w:val="0"/>
          <w:sz w:val="32"/>
          <w:szCs w:val="32"/>
          <w:shd w:val="clear" w:color="auto" w:fill="auto"/>
        </w:rPr>
        <w:t>《湖北省人民政府关于促进全省建筑业改革发展二十条意见》（鄂政发〔2018〕14号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逐步实行</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评定分离</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制度</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，特制定本工作指导规则。</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一、总体原则</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为进一步深化工程建设项目招投标机制改革，规范招投标活动，创新招投标监督和管理模式，落实招标人责任制，将招投标程序中的“评标委员会评标”与“招标人定标”作为相对独立的两个环节进行分离，遵循权责统一、规则公开、竞争择优的原则，招标人在评标委员会评审和推荐的基础上，根据招标文件规定的程序和方法进行定标，确定中标人，实施“评标</w:t>
      </w:r>
      <w:r>
        <w:rPr>
          <w:rFonts w:hint="eastAsia" w:ascii="仿宋_GB2312" w:hAnsi="Times New Roman" w:eastAsia="仿宋_GB2312"/>
          <w:color w:val="auto"/>
          <w:spacing w:val="0"/>
          <w:sz w:val="32"/>
          <w:szCs w:val="32"/>
          <w:shd w:val="clear" w:color="auto" w:fill="auto"/>
          <w:lang w:eastAsia="zh-CN"/>
        </w:rPr>
        <w:t>”和“</w:t>
      </w:r>
      <w:r>
        <w:rPr>
          <w:rFonts w:hint="eastAsia" w:ascii="仿宋_GB2312" w:hAnsi="Times New Roman" w:eastAsia="仿宋_GB2312"/>
          <w:color w:val="auto"/>
          <w:spacing w:val="0"/>
          <w:sz w:val="32"/>
          <w:szCs w:val="32"/>
          <w:shd w:val="clear" w:color="auto" w:fill="auto"/>
        </w:rPr>
        <w:t>定标</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分离办法（不包括采用邀请方式招标的项目），评定分离办法应坚持“优中选低，低中选优”原则。“优中选低”是指重大项目、技术复杂项目在优质企业中选择一个投标报价相对较低的企业。“低中选优”是指一般项目在投标报价较低的投标人中选择一个相对优质的企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二、适用范围</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仿宋_GB2312" w:eastAsia="仿宋_GB2312" w:cs="仿宋_GB2312"/>
          <w:color w:val="auto"/>
          <w:spacing w:val="0"/>
          <w:sz w:val="32"/>
          <w:szCs w:val="32"/>
          <w:shd w:val="clear" w:color="auto" w:fill="auto"/>
        </w:rPr>
      </w:pPr>
      <w:r>
        <w:rPr>
          <w:rFonts w:hint="eastAsia" w:ascii="仿宋_GB2312" w:hAnsi="仿宋_GB2312" w:eastAsia="仿宋_GB2312" w:cs="仿宋_GB2312"/>
          <w:color w:val="auto"/>
          <w:spacing w:val="0"/>
          <w:sz w:val="32"/>
          <w:szCs w:val="32"/>
          <w:shd w:val="clear" w:color="auto" w:fill="auto"/>
        </w:rPr>
        <w:t>本</w:t>
      </w:r>
      <w:r>
        <w:rPr>
          <w:rFonts w:hint="eastAsia" w:ascii="仿宋_GB2312" w:hAnsi="仿宋_GB2312" w:eastAsia="仿宋_GB2312" w:cs="仿宋_GB2312"/>
          <w:color w:val="auto"/>
          <w:spacing w:val="0"/>
          <w:sz w:val="32"/>
          <w:szCs w:val="32"/>
          <w:shd w:val="clear" w:color="auto" w:fill="auto"/>
          <w:lang w:eastAsia="zh-CN"/>
        </w:rPr>
        <w:t>试行</w:t>
      </w:r>
      <w:r>
        <w:rPr>
          <w:rFonts w:hint="eastAsia" w:ascii="仿宋_GB2312" w:hAnsi="仿宋_GB2312" w:eastAsia="仿宋_GB2312" w:cs="仿宋_GB2312"/>
          <w:color w:val="auto"/>
          <w:spacing w:val="0"/>
          <w:sz w:val="32"/>
          <w:szCs w:val="32"/>
          <w:shd w:val="clear" w:color="auto" w:fill="auto"/>
        </w:rPr>
        <w:t>规则适用范围为</w:t>
      </w:r>
      <w:r>
        <w:rPr>
          <w:rFonts w:hint="eastAsia" w:ascii="仿宋_GB2312" w:hAnsi="仿宋_GB2312" w:eastAsia="仿宋_GB2312" w:cs="仿宋_GB2312"/>
          <w:color w:val="auto"/>
          <w:spacing w:val="0"/>
          <w:sz w:val="32"/>
          <w:szCs w:val="32"/>
          <w:shd w:val="clear" w:color="auto" w:fill="auto"/>
          <w:lang w:eastAsia="zh-CN"/>
        </w:rPr>
        <w:t>本级房建市政项目中选择部分项目（建设工程</w:t>
      </w:r>
      <w:r>
        <w:rPr>
          <w:rFonts w:hint="eastAsia" w:ascii="仿宋_GB2312" w:hAnsi="仿宋_GB2312" w:eastAsia="仿宋_GB2312" w:cs="仿宋_GB2312"/>
          <w:color w:val="auto"/>
          <w:spacing w:val="0"/>
          <w:sz w:val="32"/>
          <w:szCs w:val="32"/>
          <w:shd w:val="clear" w:color="auto" w:fill="auto"/>
          <w:lang w:val="en-US" w:eastAsia="zh-CN"/>
        </w:rPr>
        <w:t>1000万元以下、工程货物500万元以下、工程服务300万元以下</w:t>
      </w:r>
      <w:r>
        <w:rPr>
          <w:rFonts w:hint="eastAsia" w:ascii="仿宋_GB2312" w:hAnsi="仿宋_GB2312" w:eastAsia="仿宋_GB2312" w:cs="仿宋_GB2312"/>
          <w:color w:val="auto"/>
          <w:spacing w:val="0"/>
          <w:sz w:val="32"/>
          <w:szCs w:val="32"/>
          <w:shd w:val="clear" w:color="auto" w:fill="auto"/>
          <w:lang w:eastAsia="zh-CN"/>
        </w:rPr>
        <w:t>）进行评定分离试点，在总结试点经验的基础上推行评定分离办法。</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三、推荐中标候选人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推荐3名中标候选人</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推荐的中标候选人均不排序</w:t>
      </w:r>
      <w:r>
        <w:rPr>
          <w:rFonts w:hint="eastAsia" w:ascii="仿宋_GB2312" w:hAnsi="Times New Roman" w:eastAsia="仿宋_GB2312"/>
          <w:color w:val="auto"/>
          <w:spacing w:val="0"/>
          <w:sz w:val="32"/>
          <w:szCs w:val="32"/>
          <w:shd w:val="clear" w:color="auto" w:fill="auto"/>
          <w:lang w:eastAsia="zh-CN"/>
        </w:rPr>
        <w:t>，招标人在编制的</w:t>
      </w:r>
      <w:r>
        <w:rPr>
          <w:rFonts w:hint="eastAsia" w:ascii="仿宋_GB2312" w:hAnsi="Times New Roman" w:eastAsia="仿宋_GB2312"/>
          <w:color w:val="auto"/>
          <w:spacing w:val="0"/>
          <w:sz w:val="32"/>
          <w:szCs w:val="32"/>
          <w:shd w:val="clear" w:color="auto" w:fill="auto"/>
        </w:rPr>
        <w:t>招标文件中明确。</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四、定标前准备</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1.中标候选人公示</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中标候选人在</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公共资源交易网公示不少于3日。公示结束后，无质疑投诉的，将中标候选人推荐给招标人。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公示期间，有中标候选人因质疑投诉并查实被取消中标资格时，若有效中标候选人少于3名的，按投标人得分高低补足至3名。对于递补的中标候选人需在</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公共资源交易网公示不少于3日。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2.定标前质询、考察</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招标人在定标会议召开前可以对中标候选人进行考察、质询，并出具考察报告作为定标辅助。考察报告中不得有明示或暗示中标单位的内容。</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是否需要对中标候选人进行考察、质询，由招标人根据实际情况确定，并应在招标文件中明确。如招标人组织考察的，应对所有中标候选人进行。</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五、组建定标委员会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楷体_GB2312" w:hAnsi="楷体_GB2312" w:eastAsia="楷体_GB2312" w:cs="楷体_GB2312"/>
          <w:color w:val="auto"/>
          <w:spacing w:val="0"/>
          <w:sz w:val="32"/>
          <w:szCs w:val="32"/>
          <w:shd w:val="clear" w:color="auto" w:fill="auto"/>
        </w:rPr>
        <w:t>1.组建定标人员库</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0"/>
          <w:szCs w:val="30"/>
          <w:shd w:val="clear" w:color="auto" w:fill="auto"/>
        </w:rPr>
        <w:t>招标人应成立定标人员库，库中人员由招标人的领导班子成员、中层管理人员、工程技术（经济）人员组成。招标人根据自身情况也可以邀请非本单位人员参定标人员库组建，但招标人应对邀请的人员及其定标行为、定标结果承担责任。</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2.组建定标委员会</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定标委员会由招标人负责组建，成员数量为</w:t>
      </w:r>
      <w:r>
        <w:rPr>
          <w:rFonts w:hint="eastAsia" w:ascii="仿宋_GB2312" w:hAnsi="Times New Roman" w:eastAsia="仿宋_GB2312"/>
          <w:color w:val="auto"/>
          <w:spacing w:val="0"/>
          <w:sz w:val="32"/>
          <w:szCs w:val="32"/>
          <w:shd w:val="clear" w:color="auto" w:fill="auto"/>
          <w:lang w:val="en-US" w:eastAsia="zh-CN"/>
        </w:rPr>
        <w:t>5</w:t>
      </w:r>
      <w:r>
        <w:rPr>
          <w:rFonts w:hint="eastAsia" w:ascii="仿宋_GB2312" w:hAnsi="Times New Roman" w:eastAsia="仿宋_GB2312"/>
          <w:color w:val="auto"/>
          <w:spacing w:val="0"/>
          <w:sz w:val="32"/>
          <w:szCs w:val="32"/>
          <w:shd w:val="clear" w:color="auto" w:fill="auto"/>
        </w:rPr>
        <w:t>人及以上单数，最多不超过11人，组长由招标人的法定代表人或主要负责人或项目分管领导担任，其他成员原则上从定标人员库中按不少于2:1的比例</w:t>
      </w:r>
      <w:r>
        <w:rPr>
          <w:rFonts w:hint="eastAsia" w:ascii="仿宋_GB2312" w:hAnsi="Times New Roman" w:eastAsia="仿宋_GB2312"/>
          <w:color w:val="auto"/>
          <w:spacing w:val="0"/>
          <w:sz w:val="32"/>
          <w:szCs w:val="32"/>
          <w:shd w:val="clear" w:color="auto" w:fill="auto"/>
          <w:lang w:eastAsia="zh-CN"/>
        </w:rPr>
        <w:t>抽签</w:t>
      </w:r>
      <w:r>
        <w:rPr>
          <w:rFonts w:hint="eastAsia" w:ascii="仿宋_GB2312" w:hAnsi="Times New Roman" w:eastAsia="仿宋_GB2312"/>
          <w:color w:val="auto"/>
          <w:spacing w:val="0"/>
          <w:sz w:val="32"/>
          <w:szCs w:val="32"/>
          <w:shd w:val="clear" w:color="auto" w:fill="auto"/>
        </w:rPr>
        <w:t>产生。</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招标人确需外聘人员参与定标的，可以外聘人员，但应对外聘人员的定标行为负责。</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招标人可以指定定标委员会成员，招标人指定的成员（含组长、外聘人员）不得超过定标委员会成员总数的三分之一。</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定标委员会成员与中标候选人有利害关系的，应当回避。</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委员会成员不得与任何中标候选人或者与招标结果有利害关系的人进行私下接触，不得收受中标候选人、中介人、其他利害关系人的财物或者其他好处，不得向招标人征询其确定中标人的意向。定标委员会成员应当客观、公正地履行职责，遵守职业道德，保守秘密，对所提出的定标意见承担个人责任。</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六、定标现场提问与面试</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定标活动在</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公共资源交易中心进行，</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中心应做好录音、录像工作，并存档备查。招标人代表在定标会议开始时可以向定标委员会介绍项目情况、招标情况、评标情况以及对中标候选人的考察、质询情况。定标委员会有疑问的，可以向招标人代表进行提问。招标人代表向定标委员会反馈的信息中不得有明示或暗示中标单位的内容。定标委员会的提问应在定标会现场提出，招标人代表应在定标会现场作出答复，由招标代理机构做好书面记录，并由提问和答复双方在书面记录上签字。提问和答复不得改变招标文件、投标文件和评标的实质性内容。</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七、择优要素</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lang w:eastAsia="zh-CN"/>
        </w:rPr>
      </w:pPr>
      <w:r>
        <w:rPr>
          <w:rFonts w:hint="eastAsia" w:ascii="仿宋_GB2312" w:hAnsi="Times New Roman" w:eastAsia="仿宋_GB2312"/>
          <w:color w:val="auto"/>
          <w:spacing w:val="0"/>
          <w:sz w:val="32"/>
          <w:szCs w:val="32"/>
          <w:shd w:val="clear" w:color="auto" w:fill="auto"/>
        </w:rPr>
        <w:t>定标委员会在择优时可参考以下要素进行：1.信用情况</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2.投标价格</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3.企业资质等级</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lang w:val="en-US" w:eastAsia="zh-CN"/>
        </w:rPr>
        <w:t>4</w:t>
      </w:r>
      <w:r>
        <w:rPr>
          <w:rFonts w:hint="eastAsia" w:ascii="仿宋_GB2312" w:hAnsi="Times New Roman" w:eastAsia="仿宋_GB2312"/>
          <w:color w:val="auto"/>
          <w:spacing w:val="0"/>
          <w:sz w:val="32"/>
          <w:szCs w:val="32"/>
          <w:shd w:val="clear" w:color="auto" w:fill="auto"/>
        </w:rPr>
        <w:t>.工程类似业绩</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5.企业所获荣誉</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6.有关服务等</w:t>
      </w:r>
      <w:r>
        <w:rPr>
          <w:rFonts w:hint="eastAsia" w:ascii="仿宋_GB2312" w:hAnsi="Times New Roman" w:eastAsia="仿宋_GB2312"/>
          <w:color w:val="auto"/>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lang w:eastAsia="zh-CN"/>
        </w:rPr>
      </w:pPr>
      <w:r>
        <w:rPr>
          <w:rFonts w:hint="eastAsia" w:ascii="仿宋_GB2312" w:hAnsi="Times New Roman" w:eastAsia="仿宋_GB2312"/>
          <w:color w:val="auto"/>
          <w:spacing w:val="0"/>
          <w:sz w:val="32"/>
          <w:szCs w:val="32"/>
          <w:shd w:val="clear" w:color="auto" w:fill="auto"/>
        </w:rPr>
        <w:t>定标委员会在“择优”的同时也可进行“比劣”，“比劣”可参考以下要素进行：1.有无串通投标，围标，以行贿等不正当手段谋取中标行为</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2.有无挂靠，以他人名义投标，出让或者出租资格、资质证书供他人投标行为</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3.投标人或其法定代表人、企业负责人、拟派项目负责人有无行贿犯罪记录</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lang w:val="en-US" w:eastAsia="zh-CN"/>
        </w:rPr>
        <w:t>4</w:t>
      </w:r>
      <w:r>
        <w:rPr>
          <w:rFonts w:hint="eastAsia" w:ascii="仿宋_GB2312" w:hAnsi="Times New Roman" w:eastAsia="仿宋_GB2312"/>
          <w:color w:val="auto"/>
          <w:spacing w:val="0"/>
          <w:sz w:val="32"/>
          <w:szCs w:val="32"/>
          <w:shd w:val="clear" w:color="auto" w:fill="auto"/>
        </w:rPr>
        <w:t>.投标人在</w:t>
      </w:r>
      <w:r>
        <w:rPr>
          <w:rFonts w:hint="eastAsia" w:ascii="仿宋_GB2312" w:hAnsi="Times New Roman" w:eastAsia="仿宋_GB2312"/>
          <w:color w:val="auto"/>
          <w:spacing w:val="0"/>
          <w:sz w:val="32"/>
          <w:szCs w:val="32"/>
          <w:shd w:val="clear" w:color="auto" w:fill="auto"/>
          <w:lang w:eastAsia="zh-CN"/>
        </w:rPr>
        <w:t>近三年的项目建设中</w:t>
      </w:r>
      <w:r>
        <w:rPr>
          <w:rFonts w:hint="eastAsia" w:ascii="仿宋_GB2312" w:hAnsi="Times New Roman" w:eastAsia="仿宋_GB2312"/>
          <w:color w:val="auto"/>
          <w:spacing w:val="0"/>
          <w:sz w:val="32"/>
          <w:szCs w:val="32"/>
          <w:shd w:val="clear" w:color="auto" w:fill="auto"/>
        </w:rPr>
        <w:t>有无严重违约或重大工程质量、安全问题</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5.招标人认定的其他不良行为</w:t>
      </w:r>
      <w:r>
        <w:rPr>
          <w:rFonts w:hint="eastAsia" w:ascii="仿宋_GB2312" w:hAnsi="Times New Roman" w:eastAsia="仿宋_GB2312"/>
          <w:color w:val="auto"/>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八、定标办法</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定标委员会成员</w:t>
      </w:r>
      <w:r>
        <w:rPr>
          <w:rFonts w:hint="eastAsia" w:ascii="仿宋_GB2312" w:hAnsi="Times New Roman" w:eastAsia="仿宋_GB2312"/>
          <w:color w:val="auto"/>
          <w:spacing w:val="0"/>
          <w:sz w:val="32"/>
          <w:szCs w:val="32"/>
          <w:shd w:val="clear" w:color="auto" w:fill="auto"/>
          <w:lang w:eastAsia="zh-CN"/>
        </w:rPr>
        <w:t>应集体决策</w:t>
      </w:r>
      <w:r>
        <w:rPr>
          <w:rFonts w:hint="eastAsia" w:ascii="仿宋_GB2312" w:hAnsi="Times New Roman" w:eastAsia="仿宋_GB2312"/>
          <w:color w:val="auto"/>
          <w:spacing w:val="0"/>
          <w:sz w:val="32"/>
          <w:szCs w:val="32"/>
          <w:shd w:val="clear" w:color="auto" w:fill="auto"/>
        </w:rPr>
        <w:t>，按“竞争和择优”以及“优中选低、低中选优”原则采取以下方式确定中标人：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lang w:eastAsia="zh-CN"/>
        </w:rPr>
        <w:t>在评标专家委员会推荐的</w:t>
      </w:r>
      <w:r>
        <w:rPr>
          <w:rFonts w:hint="eastAsia" w:ascii="仿宋_GB2312" w:hAnsi="Times New Roman" w:eastAsia="仿宋_GB2312"/>
          <w:color w:val="auto"/>
          <w:spacing w:val="0"/>
          <w:sz w:val="32"/>
          <w:szCs w:val="32"/>
          <w:shd w:val="clear" w:color="auto" w:fill="auto"/>
          <w:lang w:val="en-US" w:eastAsia="zh-CN"/>
        </w:rPr>
        <w:t>3个</w:t>
      </w:r>
      <w:r>
        <w:rPr>
          <w:rFonts w:hint="eastAsia" w:ascii="仿宋_GB2312" w:hAnsi="Times New Roman" w:eastAsia="仿宋_GB2312"/>
          <w:color w:val="auto"/>
          <w:spacing w:val="0"/>
          <w:sz w:val="32"/>
          <w:szCs w:val="32"/>
          <w:shd w:val="clear" w:color="auto" w:fill="auto"/>
        </w:rPr>
        <w:t>中标候选人</w:t>
      </w:r>
      <w:r>
        <w:rPr>
          <w:rFonts w:hint="eastAsia" w:ascii="仿宋_GB2312" w:hAnsi="Times New Roman" w:eastAsia="仿宋_GB2312"/>
          <w:color w:val="auto"/>
          <w:spacing w:val="0"/>
          <w:sz w:val="32"/>
          <w:szCs w:val="32"/>
          <w:shd w:val="clear" w:color="auto" w:fill="auto"/>
          <w:lang w:eastAsia="zh-CN"/>
        </w:rPr>
        <w:t>中</w:t>
      </w:r>
      <w:r>
        <w:rPr>
          <w:rFonts w:hint="eastAsia" w:ascii="仿宋_GB2312" w:hAnsi="Times New Roman" w:eastAsia="仿宋_GB2312"/>
          <w:color w:val="auto"/>
          <w:spacing w:val="0"/>
          <w:sz w:val="32"/>
          <w:szCs w:val="32"/>
          <w:shd w:val="clear" w:color="auto" w:fill="auto"/>
        </w:rPr>
        <w:t>，应经招标人“三重一大”会议</w:t>
      </w:r>
      <w:r>
        <w:rPr>
          <w:rFonts w:hint="eastAsia" w:ascii="仿宋_GB2312" w:hAnsi="Times New Roman" w:eastAsia="仿宋_GB2312"/>
          <w:color w:val="auto"/>
          <w:spacing w:val="0"/>
          <w:sz w:val="32"/>
          <w:szCs w:val="32"/>
          <w:shd w:val="clear" w:color="auto" w:fill="auto"/>
          <w:lang w:eastAsia="zh-CN"/>
        </w:rPr>
        <w:t>集体决策确定中标人。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九、定标结果公示与备案</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00"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仿宋_GB2312" w:hAnsi="Times New Roman" w:eastAsia="仿宋_GB2312"/>
          <w:color w:val="auto"/>
          <w:spacing w:val="0"/>
          <w:sz w:val="30"/>
          <w:szCs w:val="30"/>
          <w:shd w:val="clear" w:color="auto" w:fill="auto"/>
        </w:rPr>
        <w:t>定标结束后，招标人应当及时将定标结果在</w:t>
      </w:r>
      <w:r>
        <w:rPr>
          <w:rFonts w:hint="eastAsia" w:ascii="仿宋_GB2312" w:hAnsi="Times New Roman" w:eastAsia="仿宋_GB2312"/>
          <w:color w:val="auto"/>
          <w:spacing w:val="0"/>
          <w:sz w:val="30"/>
          <w:szCs w:val="30"/>
          <w:shd w:val="clear" w:color="auto" w:fill="auto"/>
          <w:lang w:eastAsia="zh-CN"/>
        </w:rPr>
        <w:t>宣恩县</w:t>
      </w:r>
      <w:r>
        <w:rPr>
          <w:rFonts w:hint="eastAsia" w:ascii="仿宋_GB2312" w:hAnsi="Times New Roman" w:eastAsia="仿宋_GB2312"/>
          <w:color w:val="auto"/>
          <w:spacing w:val="0"/>
          <w:sz w:val="30"/>
          <w:szCs w:val="30"/>
          <w:shd w:val="clear" w:color="auto" w:fill="auto"/>
        </w:rPr>
        <w:t>公共资源交易网公示不少于3日。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00"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仿宋_GB2312" w:hAnsi="Times New Roman" w:eastAsia="仿宋_GB2312"/>
          <w:color w:val="auto"/>
          <w:spacing w:val="0"/>
          <w:sz w:val="30"/>
          <w:szCs w:val="30"/>
          <w:shd w:val="clear" w:color="auto" w:fill="auto"/>
        </w:rPr>
        <w:t>招标人在定标会议召开后5个工作日内，应当将定标情况报行业监管部门备案。招标人应对定标过程进行记录并存档备查。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十、监督与管理</w:t>
      </w:r>
    </w:p>
    <w:p>
      <w:pPr>
        <w:keepNext w:val="0"/>
        <w:keepLines w:val="0"/>
        <w:pageBreakBefore w:val="0"/>
        <w:widowControl w:val="0"/>
        <w:kinsoku/>
        <w:wordWrap/>
        <w:overflowPunct/>
        <w:topLinePunct w:val="0"/>
        <w:autoSpaceDE/>
        <w:autoSpaceDN/>
        <w:bidi w:val="0"/>
        <w:adjustRightInd/>
        <w:snapToGrid/>
        <w:spacing w:line="570" w:lineRule="exact"/>
        <w:ind w:right="0" w:firstLine="640"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1.强化招标人责任</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招标人要强化责任意识、法治意识，对整个招标和定标过程负责。招标人要建立完善的定标机制和内部制度，不得明示或暗示定标委员会成员指定中标人，定标委员会要认真履行定标职责，严格按照招标文件规定的定标办法和程序定标，并对定标结果负责。</w:t>
      </w:r>
    </w:p>
    <w:p>
      <w:pPr>
        <w:keepNext w:val="0"/>
        <w:keepLines w:val="0"/>
        <w:pageBreakBefore w:val="0"/>
        <w:widowControl w:val="0"/>
        <w:kinsoku/>
        <w:wordWrap/>
        <w:overflowPunct/>
        <w:topLinePunct w:val="0"/>
        <w:autoSpaceDE/>
        <w:autoSpaceDN/>
        <w:bidi w:val="0"/>
        <w:adjustRightInd/>
        <w:snapToGrid/>
        <w:spacing w:line="570" w:lineRule="exact"/>
        <w:ind w:right="0" w:firstLine="640" w:firstLineChars="200"/>
        <w:textAlignment w:val="auto"/>
        <w:outlineLvl w:val="9"/>
        <w:rPr>
          <w:color w:val="auto"/>
          <w:spacing w:val="0"/>
          <w:shd w:val="clear" w:color="auto" w:fill="auto"/>
        </w:rPr>
      </w:pPr>
      <w:r>
        <w:rPr>
          <w:rFonts w:hint="eastAsia" w:ascii="楷体_GB2312" w:hAnsi="楷体_GB2312" w:eastAsia="楷体_GB2312" w:cs="楷体_GB2312"/>
          <w:color w:val="auto"/>
          <w:spacing w:val="0"/>
          <w:sz w:val="32"/>
          <w:szCs w:val="32"/>
          <w:shd w:val="clear" w:color="auto" w:fill="auto"/>
        </w:rPr>
        <w:t>2.加强评定分离监管</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一是招标人的纪检部门要加强对定标人员库组建、定标人员抽取、定标会议召开等定标全过程进行监督。二是招标人的法定代表人或主要负责人或纪检监察部门要对定标委员会成员</w:t>
      </w:r>
      <w:r>
        <w:rPr>
          <w:rFonts w:hint="eastAsia" w:ascii="仿宋_GB2312" w:hAnsi="Times New Roman" w:eastAsia="仿宋_GB2312"/>
          <w:color w:val="auto"/>
          <w:spacing w:val="0"/>
          <w:sz w:val="32"/>
          <w:szCs w:val="32"/>
          <w:shd w:val="clear" w:color="auto" w:fill="auto"/>
          <w:lang w:eastAsia="zh-CN"/>
        </w:rPr>
        <w:t>定标结果进行监督</w:t>
      </w:r>
      <w:r>
        <w:rPr>
          <w:rFonts w:hint="eastAsia" w:ascii="仿宋_GB2312" w:hAnsi="Times New Roman" w:eastAsia="仿宋_GB2312"/>
          <w:color w:val="auto"/>
          <w:spacing w:val="0"/>
          <w:sz w:val="32"/>
          <w:szCs w:val="32"/>
          <w:shd w:val="clear" w:color="auto" w:fill="auto"/>
        </w:rPr>
        <w:t>，发现异常情况及时对该定标委员会成员进行约谈，涉嫌廉政问题的，要及时向行政监察机关移交。招标单位要建立评价机制，形成年度评价分析报告存档。</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40" w:firstLineChars="200"/>
        <w:textAlignment w:val="auto"/>
        <w:rPr>
          <w:rFonts w:hint="eastAsia" w:ascii="仿宋_GB2312" w:hAnsi="仿宋_GB2312" w:eastAsia="仿宋_GB2312" w:cs="仿宋_GB2312"/>
          <w:color w:val="auto"/>
          <w:spacing w:val="0"/>
          <w:sz w:val="32"/>
          <w:szCs w:val="32"/>
          <w:shd w:val="clear" w:color="auto" w:fill="auto"/>
          <w:lang w:eastAsia="zh-CN"/>
        </w:rPr>
      </w:pPr>
    </w:p>
    <w:p>
      <w:pPr>
        <w:pStyle w:val="2"/>
        <w:keepNext w:val="0"/>
        <w:keepLines w:val="0"/>
        <w:pageBreakBefore w:val="0"/>
        <w:kinsoku/>
        <w:wordWrap/>
        <w:overflowPunct/>
        <w:topLinePunct w:val="0"/>
        <w:autoSpaceDE/>
        <w:autoSpaceDN/>
        <w:bidi w:val="0"/>
        <w:adjustRightInd/>
        <w:spacing w:line="570" w:lineRule="exact"/>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2880" w:firstLineChars="9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eastAsia="zh-CN"/>
        </w:rPr>
        <w:t>宣恩县公共资源交易管理委员会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3840" w:firstLineChars="12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val="en-US" w:eastAsia="zh-CN"/>
        </w:rPr>
        <w:t>2020年10月  日</w:t>
      </w:r>
    </w:p>
    <w:p>
      <w:pPr>
        <w:keepNext w:val="0"/>
        <w:keepLines w:val="0"/>
        <w:pageBreakBefore w:val="0"/>
        <w:kinsoku/>
        <w:wordWrap/>
        <w:overflowPunct/>
        <w:topLinePunct w:val="0"/>
        <w:autoSpaceDE/>
        <w:autoSpaceDN/>
        <w:bidi w:val="0"/>
        <w:adjustRightInd/>
        <w:spacing w:line="570" w:lineRule="exact"/>
        <w:rPr>
          <w:rFonts w:hint="eastAsia" w:ascii="黑体" w:hAnsi="黑体" w:eastAsia="黑体" w:cs="黑体"/>
          <w:color w:val="auto"/>
          <w:spacing w:val="0"/>
          <w:sz w:val="32"/>
          <w:szCs w:val="32"/>
          <w:lang w:val="en-US" w:eastAsia="zh-CN"/>
        </w:rPr>
      </w:pPr>
    </w:p>
    <w:p>
      <w:pPr>
        <w:keepNext w:val="0"/>
        <w:keepLines w:val="0"/>
        <w:pageBreakBefore w:val="0"/>
        <w:kinsoku/>
        <w:wordWrap/>
        <w:overflowPunct/>
        <w:topLinePunct w:val="0"/>
        <w:autoSpaceDE/>
        <w:autoSpaceDN/>
        <w:bidi w:val="0"/>
        <w:adjustRightInd/>
        <w:spacing w:line="570" w:lineRule="exact"/>
        <w:rPr>
          <w:rFonts w:hint="eastAsia" w:ascii="黑体" w:hAnsi="黑体" w:eastAsia="黑体" w:cs="黑体"/>
          <w:color w:val="auto"/>
          <w:spacing w:val="0"/>
          <w:sz w:val="32"/>
          <w:szCs w:val="32"/>
          <w:lang w:val="en-US" w:eastAsia="zh-CN"/>
        </w:rPr>
      </w:pPr>
      <w:r>
        <w:rPr>
          <w:rFonts w:hint="eastAsia" w:ascii="黑体" w:hAnsi="黑体" w:eastAsia="黑体" w:cs="黑体"/>
          <w:color w:val="auto"/>
          <w:spacing w:val="0"/>
          <w:sz w:val="32"/>
          <w:szCs w:val="32"/>
          <w:lang w:val="en-US" w:eastAsia="zh-CN"/>
        </w:rPr>
        <w:t>附件3</w:t>
      </w:r>
    </w:p>
    <w:p>
      <w:pPr>
        <w:keepNext w:val="0"/>
        <w:keepLines w:val="0"/>
        <w:pageBreakBefore w:val="0"/>
        <w:widowControl/>
        <w:kinsoku/>
        <w:wordWrap/>
        <w:overflowPunct/>
        <w:topLinePunct w:val="0"/>
        <w:autoSpaceDE/>
        <w:autoSpaceDN/>
        <w:bidi w:val="0"/>
        <w:adjustRightInd/>
        <w:spacing w:line="570" w:lineRule="exact"/>
        <w:ind w:left="0" w:leftChars="0" w:right="0" w:firstLine="723" w:firstLineChars="200"/>
        <w:jc w:val="center"/>
        <w:rPr>
          <w:rFonts w:hint="eastAsia"/>
          <w:b/>
          <w:bCs/>
          <w:color w:val="auto"/>
          <w:spacing w:val="0"/>
          <w:sz w:val="36"/>
          <w:szCs w:val="36"/>
          <w:lang w:val="en-US"/>
        </w:rPr>
      </w:pPr>
    </w:p>
    <w:p>
      <w:pPr>
        <w:keepNext w:val="0"/>
        <w:keepLines w:val="0"/>
        <w:pageBreakBefore w:val="0"/>
        <w:widowControl/>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b w:val="0"/>
          <w:bCs w:val="0"/>
          <w:color w:val="auto"/>
          <w:spacing w:val="0"/>
          <w:sz w:val="44"/>
          <w:szCs w:val="44"/>
          <w:lang w:val="en-US"/>
        </w:rPr>
      </w:pPr>
      <w:r>
        <w:rPr>
          <w:rFonts w:hint="eastAsia" w:ascii="方正小标宋简体" w:hAnsi="方正小标宋简体" w:eastAsia="方正小标宋简体" w:cs="方正小标宋简体"/>
          <w:b w:val="0"/>
          <w:bCs w:val="0"/>
          <w:color w:val="auto"/>
          <w:spacing w:val="0"/>
          <w:sz w:val="44"/>
          <w:szCs w:val="44"/>
          <w:lang w:val="en-US"/>
        </w:rPr>
        <w:t>宣恩县政府投资工程项目资格预审</w:t>
      </w:r>
    </w:p>
    <w:p>
      <w:pPr>
        <w:keepNext w:val="0"/>
        <w:keepLines w:val="0"/>
        <w:pageBreakBefore w:val="0"/>
        <w:widowControl/>
        <w:kinsoku/>
        <w:wordWrap/>
        <w:overflowPunct/>
        <w:topLinePunct w:val="0"/>
        <w:autoSpaceDE/>
        <w:autoSpaceDN/>
        <w:bidi w:val="0"/>
        <w:adjustRightInd/>
        <w:spacing w:line="570" w:lineRule="exact"/>
        <w:ind w:right="0"/>
        <w:jc w:val="center"/>
        <w:rPr>
          <w:rStyle w:val="11"/>
          <w:rFonts w:hint="eastAsia" w:ascii="方正小标宋简体" w:hAnsi="方正小标宋简体" w:eastAsia="方正小标宋简体" w:cs="方正小标宋简体"/>
          <w:b w:val="0"/>
          <w:bCs w:val="0"/>
          <w:color w:val="auto"/>
          <w:spacing w:val="0"/>
          <w:sz w:val="44"/>
          <w:szCs w:val="44"/>
          <w:shd w:val="clear" w:color="auto" w:fill="FFFFFF"/>
        </w:rPr>
      </w:pPr>
      <w:r>
        <w:rPr>
          <w:rFonts w:hint="eastAsia" w:ascii="方正小标宋简体" w:hAnsi="方正小标宋简体" w:eastAsia="方正小标宋简体" w:cs="方正小标宋简体"/>
          <w:b w:val="0"/>
          <w:bCs w:val="0"/>
          <w:color w:val="auto"/>
          <w:spacing w:val="0"/>
          <w:sz w:val="44"/>
          <w:szCs w:val="44"/>
          <w:lang w:val="en-US"/>
        </w:rPr>
        <w:t>指导意见（试行）</w:t>
      </w:r>
    </w:p>
    <w:p>
      <w:pPr>
        <w:keepNext w:val="0"/>
        <w:keepLines w:val="0"/>
        <w:pageBreakBefore w:val="0"/>
        <w:kinsoku/>
        <w:wordWrap/>
        <w:overflowPunct/>
        <w:topLinePunct w:val="0"/>
        <w:autoSpaceDE/>
        <w:autoSpaceDN/>
        <w:bidi w:val="0"/>
        <w:adjustRightInd/>
        <w:spacing w:line="570" w:lineRule="exact"/>
        <w:ind w:left="0" w:leftChars="0" w:right="0" w:firstLine="643" w:firstLineChars="200"/>
        <w:rPr>
          <w:rFonts w:hint="eastAsia" w:ascii="仿宋_GB2312" w:hAnsi="仿宋" w:eastAsia="仿宋_GB2312" w:cs="仿宋"/>
          <w:b/>
          <w:bCs/>
          <w:color w:val="auto"/>
          <w:spacing w:val="0"/>
          <w:sz w:val="32"/>
          <w:szCs w:val="32"/>
        </w:rPr>
      </w:pP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第一条</w:t>
      </w:r>
      <w:r>
        <w:rPr>
          <w:rFonts w:hint="eastAsia" w:ascii="仿宋_GB2312" w:hAnsi="仿宋" w:eastAsia="仿宋_GB2312" w:cs="仿宋"/>
          <w:b/>
          <w:bCs/>
          <w:color w:val="auto"/>
          <w:spacing w:val="0"/>
          <w:sz w:val="32"/>
          <w:szCs w:val="32"/>
          <w:lang w:val="en-US" w:eastAsia="zh-CN"/>
        </w:rPr>
        <w:t xml:space="preserve"> </w:t>
      </w:r>
      <w:r>
        <w:rPr>
          <w:rFonts w:hint="eastAsia" w:ascii="仿宋_GB2312" w:hAnsi="仿宋" w:eastAsia="仿宋_GB2312" w:cs="仿宋"/>
          <w:color w:val="auto"/>
          <w:spacing w:val="0"/>
          <w:sz w:val="32"/>
          <w:szCs w:val="32"/>
        </w:rPr>
        <w:t>为了规范本县政府投资重大工程项目资格审查的行为，根据《中华人民共和国招标投标法》、《中华人民共和国招标投标法实施条例》及《湖北省招标投标条例》、《湖北省人民政府办公厅关于在招投标活动中防治围标串标的通知》（鄂政办发〔2008〕64号）等有关法律、法规，结合本县实际，制定本指导意见。</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第二条</w:t>
      </w:r>
      <w:r>
        <w:rPr>
          <w:rFonts w:hint="eastAsia" w:ascii="仿宋_GB2312" w:hAnsi="仿宋" w:eastAsia="仿宋_GB2312" w:cs="仿宋"/>
          <w:color w:val="auto"/>
          <w:spacing w:val="0"/>
          <w:sz w:val="32"/>
          <w:szCs w:val="32"/>
        </w:rPr>
        <w:t xml:space="preserve"> 本县行政区域内政府投资重大工程项目采用资格预审的适用本指导意见。工程建设项目</w:t>
      </w:r>
      <w:r>
        <w:rPr>
          <w:rFonts w:hint="eastAsia" w:ascii="仿宋_GB2312" w:hAnsi="仿宋" w:eastAsia="仿宋_GB2312" w:cs="仿宋"/>
          <w:color w:val="auto"/>
          <w:spacing w:val="0"/>
          <w:sz w:val="32"/>
          <w:szCs w:val="32"/>
          <w:lang w:eastAsia="zh-CN"/>
        </w:rPr>
        <w:t>（房建、市政、交通、水利等）</w:t>
      </w:r>
      <w:r>
        <w:rPr>
          <w:rFonts w:hint="eastAsia" w:ascii="仿宋_GB2312" w:hAnsi="仿宋" w:eastAsia="仿宋_GB2312" w:cs="仿宋"/>
          <w:color w:val="auto"/>
          <w:spacing w:val="0"/>
          <w:sz w:val="32"/>
          <w:szCs w:val="32"/>
        </w:rPr>
        <w:t>投资额</w:t>
      </w:r>
      <w:r>
        <w:rPr>
          <w:rFonts w:hint="eastAsia" w:ascii="仿宋_GB2312" w:hAnsi="仿宋" w:eastAsia="仿宋_GB2312" w:cs="仿宋"/>
          <w:color w:val="auto"/>
          <w:spacing w:val="0"/>
          <w:sz w:val="32"/>
          <w:szCs w:val="32"/>
          <w:lang w:val="en-US" w:eastAsia="zh-CN"/>
        </w:rPr>
        <w:t>1000</w:t>
      </w:r>
      <w:r>
        <w:rPr>
          <w:rFonts w:hint="eastAsia" w:ascii="仿宋_GB2312" w:hAnsi="仿宋" w:eastAsia="仿宋_GB2312" w:cs="仿宋"/>
          <w:color w:val="auto"/>
          <w:spacing w:val="0"/>
          <w:sz w:val="32"/>
          <w:szCs w:val="32"/>
        </w:rPr>
        <w:t>万元以上的，以及技术复杂或者具有特殊专业技术要求的项目</w:t>
      </w:r>
      <w:r>
        <w:rPr>
          <w:rFonts w:hint="eastAsia" w:ascii="仿宋_GB2312" w:hAnsi="仿宋" w:eastAsia="仿宋_GB2312" w:cs="仿宋"/>
          <w:color w:val="auto"/>
          <w:spacing w:val="0"/>
          <w:sz w:val="32"/>
          <w:szCs w:val="32"/>
          <w:lang w:val="en-US" w:eastAsia="zh-CN"/>
        </w:rPr>
        <w:t>适</w:t>
      </w:r>
      <w:r>
        <w:rPr>
          <w:rFonts w:hint="eastAsia" w:ascii="仿宋_GB2312" w:hAnsi="仿宋" w:eastAsia="仿宋_GB2312" w:cs="仿宋"/>
          <w:color w:val="auto"/>
          <w:spacing w:val="0"/>
          <w:sz w:val="32"/>
          <w:szCs w:val="32"/>
        </w:rPr>
        <w:t>用资格预审。</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三</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w:t>
      </w:r>
      <w:r>
        <w:rPr>
          <w:rFonts w:hint="eastAsia" w:ascii="仿宋_GB2312" w:hAnsi="仿宋" w:eastAsia="仿宋_GB2312" w:cs="仿宋"/>
          <w:color w:val="auto"/>
          <w:spacing w:val="0"/>
          <w:sz w:val="32"/>
          <w:szCs w:val="32"/>
          <w:lang w:val="en-US" w:eastAsia="zh-CN"/>
        </w:rPr>
        <w:t>达到必须招标范围的</w:t>
      </w:r>
      <w:r>
        <w:rPr>
          <w:rFonts w:hint="eastAsia" w:ascii="仿宋_GB2312" w:hAnsi="仿宋" w:eastAsia="仿宋_GB2312" w:cs="仿宋"/>
          <w:color w:val="auto"/>
          <w:spacing w:val="0"/>
          <w:sz w:val="32"/>
          <w:szCs w:val="32"/>
        </w:rPr>
        <w:t>项目</w:t>
      </w:r>
      <w:r>
        <w:rPr>
          <w:rFonts w:hint="eastAsia" w:ascii="仿宋_GB2312" w:hAnsi="仿宋" w:eastAsia="仿宋_GB2312" w:cs="仿宋"/>
          <w:color w:val="auto"/>
          <w:spacing w:val="0"/>
          <w:sz w:val="32"/>
          <w:szCs w:val="32"/>
          <w:lang w:eastAsia="zh-CN"/>
        </w:rPr>
        <w:t>应当</w:t>
      </w:r>
      <w:r>
        <w:rPr>
          <w:rFonts w:hint="eastAsia" w:ascii="仿宋_GB2312" w:hAnsi="仿宋" w:eastAsia="仿宋_GB2312" w:cs="仿宋"/>
          <w:color w:val="auto"/>
          <w:spacing w:val="0"/>
          <w:sz w:val="32"/>
          <w:szCs w:val="32"/>
          <w:lang w:val="en-US" w:eastAsia="zh-CN"/>
        </w:rPr>
        <w:t>在恩施州公共资源交易平台发布公告</w:t>
      </w:r>
      <w:r>
        <w:rPr>
          <w:rFonts w:hint="eastAsia" w:ascii="仿宋_GB2312" w:hAnsi="仿宋" w:eastAsia="仿宋_GB2312" w:cs="仿宋"/>
          <w:color w:val="auto"/>
          <w:spacing w:val="0"/>
          <w:sz w:val="32"/>
          <w:szCs w:val="32"/>
        </w:rPr>
        <w:t>。</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default" w:ascii="仿宋_GB2312" w:hAnsi="仿宋" w:eastAsia="仿宋_GB2312" w:cs="仿宋"/>
          <w:color w:val="auto"/>
          <w:spacing w:val="0"/>
          <w:sz w:val="32"/>
          <w:szCs w:val="32"/>
          <w:lang w:val="en-US" w:eastAsia="zh-CN"/>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四</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招标人进行项目资格预审或集中资格预审时，不得以不合理条件限制、排斥潜在投标人。</w:t>
      </w:r>
      <w:r>
        <w:rPr>
          <w:rFonts w:hint="eastAsia" w:ascii="仿宋_GB2312" w:hAnsi="仿宋" w:eastAsia="仿宋_GB2312" w:cs="仿宋"/>
          <w:color w:val="auto"/>
          <w:spacing w:val="0"/>
          <w:sz w:val="32"/>
          <w:szCs w:val="32"/>
          <w:lang w:val="en-US" w:eastAsia="zh-CN"/>
        </w:rPr>
        <w:t>具体见</w:t>
      </w:r>
      <w:r>
        <w:rPr>
          <w:rFonts w:hint="eastAsia" w:ascii="仿宋_GB2312" w:hAnsi="仿宋" w:eastAsia="仿宋_GB2312" w:cs="仿宋"/>
          <w:color w:val="auto"/>
          <w:spacing w:val="0"/>
          <w:sz w:val="32"/>
          <w:szCs w:val="32"/>
          <w:lang w:eastAsia="zh-CN"/>
        </w:rPr>
        <w:t>《</w:t>
      </w:r>
      <w:r>
        <w:rPr>
          <w:rFonts w:hint="eastAsia" w:ascii="仿宋_GB2312" w:hAnsi="仿宋" w:eastAsia="仿宋_GB2312" w:cs="仿宋"/>
          <w:color w:val="auto"/>
          <w:spacing w:val="0"/>
          <w:sz w:val="32"/>
          <w:szCs w:val="32"/>
          <w:lang w:val="en-US" w:eastAsia="zh-CN"/>
        </w:rPr>
        <w:t>宣恩县工程项目招投标领域优化营商环境十八条“负面清单”</w:t>
      </w:r>
      <w:r>
        <w:rPr>
          <w:rFonts w:hint="eastAsia" w:ascii="仿宋_GB2312" w:hAnsi="仿宋" w:eastAsia="仿宋_GB2312" w:cs="仿宋"/>
          <w:color w:val="auto"/>
          <w:spacing w:val="0"/>
          <w:sz w:val="32"/>
          <w:szCs w:val="32"/>
          <w:lang w:eastAsia="zh-CN"/>
        </w:rPr>
        <w:t>》。</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五</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采用资格预审的项目，招标人应当在资格预审结束后依法确定合格投标人。</w:t>
      </w:r>
      <w:r>
        <w:rPr>
          <w:rFonts w:hint="eastAsia" w:ascii="仿宋_GB2312" w:hAnsi="仿宋" w:eastAsia="仿宋_GB2312" w:cs="仿宋"/>
          <w:color w:val="auto"/>
          <w:spacing w:val="0"/>
          <w:sz w:val="32"/>
          <w:szCs w:val="32"/>
          <w:lang w:val="en-US"/>
        </w:rPr>
        <w:t>经评审，有效资格预审申请人多于9个的，合格投标人应当不少于9个；有效资格预审申请人等于或少于9个的，应全部作为合格投标人。</w:t>
      </w:r>
      <w:r>
        <w:rPr>
          <w:rFonts w:hint="eastAsia" w:ascii="仿宋_GB2312" w:hAnsi="仿宋" w:eastAsia="仿宋_GB2312" w:cs="仿宋"/>
          <w:color w:val="auto"/>
          <w:spacing w:val="0"/>
          <w:sz w:val="32"/>
          <w:szCs w:val="32"/>
        </w:rPr>
        <w:t>通过资格预审的申请人少于3个的，应当重新组织资格预审。</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六</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采用资格预审的项目，招标人应当自收到资格审查报告之日起3个工作日内，通过县公共交易系统向通过资格审查的申请人发出邀请书，并向未通过资格审查的申请人告知未通过原因。</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七</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招标人应当按照相关法律法规的规定，邀请所有通过资格审查</w:t>
      </w:r>
      <w:r>
        <w:rPr>
          <w:rFonts w:hint="eastAsia" w:ascii="仿宋_GB2312" w:hAnsi="仿宋" w:eastAsia="仿宋_GB2312" w:cs="仿宋"/>
          <w:color w:val="auto"/>
          <w:spacing w:val="0"/>
          <w:sz w:val="32"/>
          <w:szCs w:val="32"/>
          <w:lang w:eastAsia="zh-CN"/>
        </w:rPr>
        <w:t>的</w:t>
      </w:r>
      <w:r>
        <w:rPr>
          <w:rFonts w:hint="eastAsia" w:ascii="仿宋_GB2312" w:hAnsi="仿宋" w:eastAsia="仿宋_GB2312" w:cs="仿宋"/>
          <w:color w:val="auto"/>
          <w:spacing w:val="0"/>
          <w:sz w:val="32"/>
          <w:szCs w:val="32"/>
        </w:rPr>
        <w:t>企业参与项目投标。未通过资格预审的申请人不具有投标资格。</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八</w:t>
      </w:r>
      <w:r>
        <w:rPr>
          <w:rFonts w:hint="eastAsia" w:ascii="黑体" w:hAnsi="黑体" w:eastAsia="黑体" w:cs="黑体"/>
          <w:b w:val="0"/>
          <w:bCs w:val="0"/>
          <w:color w:val="auto"/>
          <w:spacing w:val="0"/>
          <w:sz w:val="32"/>
          <w:szCs w:val="32"/>
        </w:rPr>
        <w:t>条</w:t>
      </w:r>
      <w:r>
        <w:rPr>
          <w:rFonts w:hint="eastAsia" w:ascii="仿宋_GB2312" w:hAnsi="仿宋" w:eastAsia="仿宋_GB2312" w:cs="仿宋"/>
          <w:color w:val="auto"/>
          <w:spacing w:val="0"/>
          <w:sz w:val="32"/>
          <w:szCs w:val="32"/>
        </w:rPr>
        <w:t xml:space="preserve"> 资格审查申请人认为资格审查活动违反招</w:t>
      </w:r>
      <w:r>
        <w:rPr>
          <w:rFonts w:hint="eastAsia" w:ascii="仿宋_GB2312" w:hAnsi="仿宋" w:eastAsia="仿宋_GB2312" w:cs="仿宋"/>
          <w:color w:val="auto"/>
          <w:spacing w:val="0"/>
          <w:sz w:val="32"/>
          <w:szCs w:val="32"/>
          <w:lang w:eastAsia="zh-CN"/>
        </w:rPr>
        <w:t>投</w:t>
      </w:r>
      <w:r>
        <w:rPr>
          <w:rFonts w:hint="eastAsia" w:ascii="仿宋_GB2312" w:hAnsi="仿宋" w:eastAsia="仿宋_GB2312" w:cs="仿宋"/>
          <w:color w:val="auto"/>
          <w:spacing w:val="0"/>
          <w:sz w:val="32"/>
          <w:szCs w:val="32"/>
        </w:rPr>
        <w:t>投标法律法规的，</w:t>
      </w:r>
      <w:r>
        <w:rPr>
          <w:rFonts w:hint="eastAsia" w:ascii="仿宋_GB2312" w:hAnsi="仿宋" w:eastAsia="仿宋_GB2312" w:cs="仿宋"/>
          <w:color w:val="auto"/>
          <w:spacing w:val="0"/>
          <w:sz w:val="32"/>
          <w:szCs w:val="32"/>
          <w:lang w:eastAsia="zh-CN"/>
        </w:rPr>
        <w:t>可以</w:t>
      </w:r>
      <w:r>
        <w:rPr>
          <w:rFonts w:hint="eastAsia" w:ascii="仿宋_GB2312" w:hAnsi="仿宋" w:eastAsia="仿宋_GB2312" w:cs="仿宋"/>
          <w:color w:val="auto"/>
          <w:spacing w:val="0"/>
          <w:sz w:val="32"/>
          <w:szCs w:val="32"/>
        </w:rPr>
        <w:t>依法向招标人提出异议；对异议回复不满意时，资格审查申请人可以向项目行政监督部门投诉。招标人对资格审查申请人提出的异议内容未作出合理的答复的，不得进行下一步的招标活动。</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Times New Roman" w:eastAsia="仿宋_GB2312"/>
          <w:color w:val="FF0000"/>
          <w:spacing w:val="0"/>
          <w:sz w:val="32"/>
          <w:szCs w:val="32"/>
        </w:rPr>
      </w:pPr>
      <w:r>
        <w:rPr>
          <w:rFonts w:hint="eastAsia" w:ascii="黑体" w:hAnsi="黑体" w:eastAsia="黑体" w:cs="黑体"/>
          <w:b w:val="0"/>
          <w:bCs w:val="0"/>
          <w:color w:val="auto"/>
          <w:spacing w:val="0"/>
          <w:sz w:val="32"/>
          <w:szCs w:val="32"/>
        </w:rPr>
        <w:t>第</w:t>
      </w:r>
      <w:r>
        <w:rPr>
          <w:rFonts w:hint="eastAsia" w:ascii="黑体" w:hAnsi="黑体" w:eastAsia="黑体" w:cs="黑体"/>
          <w:b w:val="0"/>
          <w:bCs w:val="0"/>
          <w:color w:val="auto"/>
          <w:spacing w:val="0"/>
          <w:sz w:val="32"/>
          <w:szCs w:val="32"/>
          <w:lang w:val="en-US" w:eastAsia="zh-CN"/>
        </w:rPr>
        <w:t>九条</w:t>
      </w:r>
      <w:r>
        <w:rPr>
          <w:rFonts w:hint="eastAsia" w:ascii="仿宋_GB2312" w:hAnsi="仿宋" w:eastAsia="仿宋_GB2312" w:cs="仿宋"/>
          <w:color w:val="auto"/>
          <w:spacing w:val="0"/>
          <w:sz w:val="32"/>
          <w:szCs w:val="32"/>
        </w:rPr>
        <w:t xml:space="preserve"> 在通过项目资格预审后，投标人无正当理由不参与项目投标的，招标人应当及时向行政监督部门或综合监管部门报告。</w:t>
      </w:r>
      <w:r>
        <w:rPr>
          <w:rFonts w:hint="eastAsia" w:ascii="仿宋_GB2312" w:hAnsi="仿宋" w:eastAsia="仿宋_GB2312" w:cs="仿宋"/>
          <w:color w:val="auto"/>
          <w:spacing w:val="0"/>
          <w:sz w:val="32"/>
          <w:szCs w:val="32"/>
          <w:lang w:eastAsia="zh-CN"/>
        </w:rPr>
        <w:t>行业</w:t>
      </w:r>
      <w:r>
        <w:rPr>
          <w:rFonts w:hint="eastAsia" w:ascii="仿宋_GB2312" w:hAnsi="仿宋" w:eastAsia="仿宋_GB2312" w:cs="仿宋"/>
          <w:color w:val="auto"/>
          <w:spacing w:val="0"/>
          <w:sz w:val="32"/>
          <w:szCs w:val="32"/>
        </w:rPr>
        <w:t>监督部门应当进行核查，发现投标人有违法行为的，应当依法处理，并按规定限制或者禁止其参加政府投资重大工程项目的投标资格。</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第十条</w:t>
      </w:r>
      <w:r>
        <w:rPr>
          <w:rFonts w:hint="eastAsia" w:ascii="仿宋_GB2312" w:hAnsi="仿宋" w:eastAsia="仿宋_GB2312" w:cs="仿宋"/>
          <w:color w:val="auto"/>
          <w:spacing w:val="0"/>
          <w:sz w:val="32"/>
          <w:szCs w:val="32"/>
        </w:rPr>
        <w:t xml:space="preserve"> 行政监督部门和综合监管部门应当加强对资格预审的监督管理，依法查处违法行为。</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_GB2312" w:hAnsi="仿宋" w:eastAsia="仿宋_GB2312" w:cs="仿宋"/>
          <w:color w:val="auto"/>
          <w:spacing w:val="0"/>
          <w:sz w:val="32"/>
          <w:szCs w:val="32"/>
        </w:rPr>
      </w:pPr>
      <w:r>
        <w:rPr>
          <w:rFonts w:hint="eastAsia" w:ascii="黑体" w:hAnsi="黑体" w:eastAsia="黑体" w:cs="黑体"/>
          <w:b w:val="0"/>
          <w:bCs w:val="0"/>
          <w:color w:val="auto"/>
          <w:spacing w:val="0"/>
          <w:sz w:val="32"/>
          <w:szCs w:val="32"/>
        </w:rPr>
        <w:t>第十</w:t>
      </w:r>
      <w:r>
        <w:rPr>
          <w:rFonts w:hint="eastAsia" w:ascii="黑体" w:hAnsi="黑体" w:eastAsia="黑体" w:cs="黑体"/>
          <w:b w:val="0"/>
          <w:bCs w:val="0"/>
          <w:color w:val="auto"/>
          <w:spacing w:val="0"/>
          <w:sz w:val="32"/>
          <w:szCs w:val="32"/>
          <w:lang w:val="en-US" w:eastAsia="zh-CN"/>
        </w:rPr>
        <w:t>一</w:t>
      </w:r>
      <w:r>
        <w:rPr>
          <w:rFonts w:hint="eastAsia" w:ascii="黑体" w:hAnsi="黑体" w:eastAsia="黑体" w:cs="黑体"/>
          <w:b w:val="0"/>
          <w:bCs w:val="0"/>
          <w:color w:val="auto"/>
          <w:spacing w:val="0"/>
          <w:sz w:val="32"/>
          <w:szCs w:val="32"/>
        </w:rPr>
        <w:t>条</w:t>
      </w:r>
      <w:r>
        <w:rPr>
          <w:rFonts w:hint="eastAsia" w:ascii="仿宋_GB2312" w:hAnsi="仿宋" w:eastAsia="仿宋_GB2312" w:cs="仿宋"/>
          <w:b/>
          <w:bCs/>
          <w:color w:val="auto"/>
          <w:spacing w:val="0"/>
          <w:sz w:val="32"/>
          <w:szCs w:val="32"/>
        </w:rPr>
        <w:t xml:space="preserve"> </w:t>
      </w:r>
      <w:r>
        <w:rPr>
          <w:rFonts w:hint="eastAsia" w:ascii="仿宋_GB2312" w:hAnsi="仿宋" w:eastAsia="仿宋_GB2312" w:cs="仿宋"/>
          <w:color w:val="auto"/>
          <w:spacing w:val="0"/>
          <w:sz w:val="32"/>
          <w:szCs w:val="32"/>
        </w:rPr>
        <w:t>本指导意见自发布之日起施行。</w:t>
      </w:r>
    </w:p>
    <w:p>
      <w:pPr>
        <w:pStyle w:val="2"/>
        <w:keepNext w:val="0"/>
        <w:keepLines w:val="0"/>
        <w:pageBreakBefore w:val="0"/>
        <w:kinsoku/>
        <w:wordWrap/>
        <w:overflowPunct/>
        <w:topLinePunct w:val="0"/>
        <w:autoSpaceDE/>
        <w:autoSpaceDN/>
        <w:bidi w:val="0"/>
        <w:adjustRightInd/>
        <w:spacing w:line="570" w:lineRule="exact"/>
        <w:ind w:left="0" w:leftChars="0" w:right="0" w:firstLine="640" w:firstLineChars="200"/>
        <w:rPr>
          <w:color w:val="auto"/>
          <w:spacing w:val="0"/>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2880" w:firstLineChars="9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eastAsia="zh-CN"/>
        </w:rPr>
        <w:t>宣恩县公共资源交易管理委员会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4160" w:firstLineChars="13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val="en-US" w:eastAsia="zh-CN"/>
        </w:rPr>
        <w:t>2020年10月  日</w:t>
      </w:r>
    </w:p>
    <w:p>
      <w:pPr>
        <w:keepNext w:val="0"/>
        <w:keepLines w:val="0"/>
        <w:pageBreakBefore w:val="0"/>
        <w:kinsoku/>
        <w:wordWrap/>
        <w:overflowPunct/>
        <w:topLinePunct w:val="0"/>
        <w:autoSpaceDE/>
        <w:autoSpaceDN/>
        <w:bidi w:val="0"/>
        <w:adjustRightInd/>
        <w:spacing w:line="570" w:lineRule="exact"/>
        <w:rPr>
          <w:rFonts w:hint="eastAsia" w:ascii="黑体" w:hAnsi="黑体" w:eastAsia="黑体" w:cs="黑体"/>
          <w:bCs/>
          <w:color w:val="auto"/>
          <w:spacing w:val="0"/>
          <w:sz w:val="32"/>
          <w:szCs w:val="32"/>
          <w:shd w:val="clear" w:color="auto" w:fill="auto"/>
          <w:lang w:val="en-US" w:eastAsia="zh-CN" w:bidi="ar"/>
        </w:rPr>
      </w:pPr>
      <w:r>
        <w:rPr>
          <w:rFonts w:hint="eastAsia" w:ascii="黑体" w:hAnsi="黑体" w:eastAsia="黑体" w:cs="黑体"/>
          <w:bCs/>
          <w:color w:val="auto"/>
          <w:spacing w:val="0"/>
          <w:sz w:val="32"/>
          <w:szCs w:val="32"/>
          <w:shd w:val="clear" w:color="auto" w:fill="auto"/>
          <w:lang w:val="en-US" w:eastAsia="zh-CN" w:bidi="ar"/>
        </w:rPr>
        <w:br w:type="page"/>
      </w:r>
    </w:p>
    <w:p>
      <w:pPr>
        <w:keepNext w:val="0"/>
        <w:keepLines w:val="0"/>
        <w:pageBreakBefore w:val="0"/>
        <w:kinsoku/>
        <w:wordWrap/>
        <w:overflowPunct/>
        <w:topLinePunct w:val="0"/>
        <w:autoSpaceDE/>
        <w:autoSpaceDN/>
        <w:bidi w:val="0"/>
        <w:adjustRightInd/>
        <w:spacing w:line="570" w:lineRule="exact"/>
        <w:ind w:right="0"/>
        <w:jc w:val="left"/>
        <w:rPr>
          <w:rFonts w:hint="eastAsia" w:ascii="黑体" w:hAnsi="黑体" w:eastAsia="黑体" w:cs="黑体"/>
          <w:color w:val="auto"/>
          <w:spacing w:val="0"/>
          <w:sz w:val="32"/>
          <w:szCs w:val="32"/>
          <w:lang w:val="en-US" w:eastAsia="zh-CN"/>
        </w:rPr>
      </w:pPr>
      <w:r>
        <w:rPr>
          <w:rFonts w:hint="eastAsia" w:ascii="黑体" w:hAnsi="黑体" w:eastAsia="黑体" w:cs="黑体"/>
          <w:color w:val="auto"/>
          <w:spacing w:val="0"/>
          <w:sz w:val="32"/>
          <w:szCs w:val="32"/>
          <w:lang w:eastAsia="zh-CN"/>
        </w:rPr>
        <w:t>附件</w:t>
      </w:r>
      <w:r>
        <w:rPr>
          <w:rFonts w:hint="eastAsia" w:ascii="黑体" w:hAnsi="黑体" w:eastAsia="黑体" w:cs="黑体"/>
          <w:color w:val="auto"/>
          <w:spacing w:val="0"/>
          <w:sz w:val="32"/>
          <w:szCs w:val="32"/>
          <w:lang w:val="en-US" w:eastAsia="zh-CN"/>
        </w:rPr>
        <w:t>4</w: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粗黑宋简体" w:eastAsia="方正小标宋简体" w:cs="方正粗黑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粗黑宋简体" w:eastAsia="方正小标宋简体" w:cs="方正粗黑宋简体"/>
          <w:color w:val="auto"/>
          <w:spacing w:val="0"/>
          <w:sz w:val="44"/>
          <w:szCs w:val="44"/>
        </w:rPr>
      </w:pPr>
      <w:r>
        <w:rPr>
          <w:rFonts w:hint="eastAsia" w:ascii="方正小标宋简体" w:hAnsi="方正粗黑宋简体" w:eastAsia="方正小标宋简体" w:cs="方正粗黑宋简体"/>
          <w:color w:val="auto"/>
          <w:spacing w:val="0"/>
          <w:sz w:val="44"/>
          <w:szCs w:val="44"/>
        </w:rPr>
        <w:t>关于加强</w:t>
      </w:r>
      <w:r>
        <w:rPr>
          <w:rFonts w:hint="eastAsia" w:ascii="方正小标宋简体" w:hAnsi="方正粗黑宋简体" w:eastAsia="方正小标宋简体" w:cs="方正粗黑宋简体"/>
          <w:color w:val="auto"/>
          <w:spacing w:val="0"/>
          <w:sz w:val="44"/>
          <w:szCs w:val="44"/>
          <w:lang w:eastAsia="zh-CN"/>
        </w:rPr>
        <w:t>工程建设项目招</w:t>
      </w:r>
      <w:r>
        <w:rPr>
          <w:rFonts w:hint="eastAsia" w:ascii="方正小标宋简体" w:hAnsi="方正粗黑宋简体" w:eastAsia="方正小标宋简体" w:cs="方正粗黑宋简体"/>
          <w:color w:val="auto"/>
          <w:spacing w:val="0"/>
          <w:sz w:val="44"/>
          <w:szCs w:val="44"/>
        </w:rPr>
        <w:t>标后履约行为</w: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粗黑宋简体" w:eastAsia="方正小标宋简体" w:cs="方正粗黑宋简体"/>
          <w:color w:val="auto"/>
          <w:spacing w:val="0"/>
          <w:sz w:val="44"/>
          <w:szCs w:val="44"/>
        </w:rPr>
      </w:pPr>
      <w:r>
        <w:rPr>
          <w:rFonts w:hint="eastAsia" w:ascii="方正小标宋简体" w:hAnsi="方正粗黑宋简体" w:eastAsia="方正小标宋简体" w:cs="方正粗黑宋简体"/>
          <w:color w:val="auto"/>
          <w:spacing w:val="0"/>
          <w:sz w:val="44"/>
          <w:szCs w:val="44"/>
        </w:rPr>
        <w:t>监管工作的通知</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 w:hAnsi="仿宋" w:eastAsia="仿宋" w:cs="仿宋"/>
          <w:color w:val="auto"/>
          <w:spacing w:val="0"/>
          <w:sz w:val="32"/>
          <w:szCs w:val="32"/>
        </w:rPr>
      </w:pP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为完善标后履约监管机制，营造</w:t>
      </w:r>
      <w:r>
        <w:rPr>
          <w:rFonts w:hint="eastAsia" w:ascii="仿宋_GB2312" w:hAnsi="仿宋_GB2312" w:eastAsia="仿宋_GB2312" w:cs="仿宋_GB2312"/>
          <w:color w:val="auto"/>
          <w:spacing w:val="0"/>
          <w:sz w:val="32"/>
          <w:szCs w:val="32"/>
          <w:lang w:eastAsia="zh-CN"/>
        </w:rPr>
        <w:t>诚信守约</w:t>
      </w:r>
      <w:r>
        <w:rPr>
          <w:rFonts w:hint="eastAsia" w:ascii="仿宋_GB2312" w:hAnsi="仿宋_GB2312" w:eastAsia="仿宋_GB2312" w:cs="仿宋_GB2312"/>
          <w:color w:val="auto"/>
          <w:spacing w:val="0"/>
          <w:sz w:val="32"/>
          <w:szCs w:val="32"/>
        </w:rPr>
        <w:t>的诚信环境，根据《中华人民共和国招标投标法》</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《中华人民共和国</w:t>
      </w:r>
      <w:r>
        <w:rPr>
          <w:rFonts w:hint="eastAsia" w:ascii="仿宋_GB2312" w:hAnsi="仿宋_GB2312" w:eastAsia="仿宋_GB2312" w:cs="仿宋_GB2312"/>
          <w:color w:val="auto"/>
          <w:spacing w:val="0"/>
          <w:sz w:val="32"/>
          <w:szCs w:val="32"/>
          <w:lang w:eastAsia="zh-CN"/>
        </w:rPr>
        <w:t>招投标实施条例</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《湖北省公共资源交易监督管理办法》等规定，就进一步加强</w:t>
      </w:r>
      <w:r>
        <w:rPr>
          <w:rFonts w:hint="eastAsia" w:ascii="仿宋_GB2312" w:hAnsi="仿宋_GB2312" w:eastAsia="仿宋_GB2312" w:cs="仿宋_GB2312"/>
          <w:color w:val="auto"/>
          <w:spacing w:val="0"/>
          <w:sz w:val="32"/>
          <w:szCs w:val="32"/>
          <w:lang w:eastAsia="zh-CN"/>
        </w:rPr>
        <w:t>工程建设项目</w:t>
      </w:r>
      <w:r>
        <w:rPr>
          <w:rFonts w:hint="eastAsia" w:ascii="仿宋_GB2312" w:hAnsi="仿宋_GB2312" w:eastAsia="仿宋_GB2312" w:cs="仿宋_GB2312"/>
          <w:color w:val="auto"/>
          <w:spacing w:val="0"/>
          <w:sz w:val="32"/>
          <w:szCs w:val="32"/>
        </w:rPr>
        <w:t>标后履约监督管理工作通知如下：</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黑体" w:hAnsi="黑体" w:eastAsia="黑体" w:cs="方正粗黑宋简体"/>
          <w:color w:val="auto"/>
          <w:spacing w:val="0"/>
          <w:sz w:val="32"/>
          <w:szCs w:val="32"/>
        </w:rPr>
      </w:pPr>
      <w:r>
        <w:rPr>
          <w:rFonts w:hint="eastAsia" w:ascii="黑体" w:hAnsi="黑体" w:eastAsia="黑体" w:cs="方正粗黑宋简体"/>
          <w:color w:val="auto"/>
          <w:spacing w:val="0"/>
          <w:sz w:val="32"/>
          <w:szCs w:val="32"/>
        </w:rPr>
        <w:t>一、全面提高对标后履约监管工作的认识</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加强标后履约监管，实现建筑市场与施工现场有效联动，对解决招标投标与施工过程“两层皮”现象，遏制招标投标工作和施工期间存在的违法违规行为，保障工程质量、安全和资金使用效益，具有重要意义。各行政主管部门要进一步提高对标后履约监管工作的认识，在深入治理工程建设领域突出问题、规范招投标行为的同时，要将监管工作不断向标后延伸，明确标后履约监管的主体、监管职责及主要内容，实施部门联动监管方式，从合同签订、施工现场管理、工程变更、工程款支付、农民工工资支付、竣工验收、履约评价、责任追究等方面，对标后工程实行全过程、全方位监管，切实维护好建筑市场秩序。</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黑体" w:hAnsi="黑体" w:eastAsia="黑体" w:cs="方正粗黑宋简体"/>
          <w:color w:val="auto"/>
          <w:spacing w:val="0"/>
          <w:sz w:val="32"/>
          <w:szCs w:val="32"/>
        </w:rPr>
      </w:pPr>
      <w:r>
        <w:rPr>
          <w:rFonts w:hint="eastAsia" w:ascii="黑体" w:hAnsi="黑体" w:eastAsia="黑体" w:cs="方正粗黑宋简体"/>
          <w:color w:val="auto"/>
          <w:spacing w:val="0"/>
          <w:sz w:val="32"/>
          <w:szCs w:val="32"/>
        </w:rPr>
        <w:t>二、突出标后履约监管的重点内容</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（一）严禁工程转包违法分包和挂靠。</w:t>
      </w:r>
      <w:r>
        <w:rPr>
          <w:rFonts w:hint="eastAsia" w:ascii="仿宋_GB2312" w:hAnsi="仿宋_GB2312" w:eastAsia="仿宋_GB2312" w:cs="仿宋_GB2312"/>
          <w:color w:val="auto"/>
          <w:spacing w:val="0"/>
          <w:sz w:val="32"/>
          <w:szCs w:val="32"/>
        </w:rPr>
        <w:t>建设工程项目完成招投标工作后，建设单位、中标企业要签订《禁止工程转包违法分包、挂靠承诺书》。中标企业必须按照招标文件要求和《禁止工程转包违法分包、挂靠承诺书》的承诺以及合同的规定，自行完成所中标的工程项目。项目确需分包的，必须符合国家法律、法规及招标文件规定，建设单位不得直接指定分包单位。建设单位发现非中标单位进场的，或中标人将工程转包或违法分包的，应立即依照法律和合同规定中止合同，并向行业主管部门报告。行业主管部门要不定期地对</w:t>
      </w:r>
      <w:r>
        <w:rPr>
          <w:rFonts w:hint="eastAsia" w:ascii="仿宋_GB2312" w:hAnsi="仿宋_GB2312" w:eastAsia="仿宋_GB2312" w:cs="仿宋_GB2312"/>
          <w:color w:val="auto"/>
          <w:spacing w:val="0"/>
          <w:sz w:val="32"/>
          <w:szCs w:val="32"/>
          <w:lang w:eastAsia="zh-CN"/>
        </w:rPr>
        <w:t>标后履约</w:t>
      </w:r>
      <w:r>
        <w:rPr>
          <w:rFonts w:hint="eastAsia" w:ascii="仿宋_GB2312" w:hAnsi="仿宋_GB2312" w:eastAsia="仿宋_GB2312" w:cs="仿宋_GB2312"/>
          <w:color w:val="auto"/>
          <w:spacing w:val="0"/>
          <w:sz w:val="32"/>
          <w:szCs w:val="32"/>
        </w:rPr>
        <w:t>行为进行检查，发现工程项目存在转包、违法分包和挂靠的</w:t>
      </w:r>
      <w:r>
        <w:rPr>
          <w:rFonts w:hint="eastAsia" w:ascii="仿宋_GB2312" w:hAnsi="仿宋_GB2312" w:eastAsia="仿宋_GB2312" w:cs="仿宋_GB2312"/>
          <w:color w:val="auto"/>
          <w:spacing w:val="0"/>
          <w:sz w:val="32"/>
          <w:szCs w:val="32"/>
          <w:lang w:eastAsia="zh-CN"/>
        </w:rPr>
        <w:t>应</w:t>
      </w:r>
      <w:r>
        <w:rPr>
          <w:rFonts w:hint="eastAsia" w:ascii="仿宋_GB2312" w:hAnsi="仿宋_GB2312" w:eastAsia="仿宋_GB2312" w:cs="仿宋_GB2312"/>
          <w:color w:val="auto"/>
          <w:spacing w:val="0"/>
          <w:sz w:val="32"/>
          <w:szCs w:val="32"/>
        </w:rPr>
        <w:t>依法予以严肃查处。</w:t>
      </w:r>
    </w:p>
    <w:p>
      <w:pPr>
        <w:keepNext w:val="0"/>
        <w:keepLines w:val="0"/>
        <w:pageBreakBefore w:val="0"/>
        <w:kinsoku/>
        <w:wordWrap/>
        <w:overflowPunct/>
        <w:topLinePunct w:val="0"/>
        <w:autoSpaceDE/>
        <w:autoSpaceDN/>
        <w:bidi w:val="0"/>
        <w:adjustRightInd/>
        <w:spacing w:line="570" w:lineRule="exact"/>
        <w:ind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（二）加强对合同签订及变更的监督管理。</w:t>
      </w:r>
      <w:r>
        <w:rPr>
          <w:rFonts w:hint="eastAsia" w:ascii="仿宋_GB2312" w:hAnsi="仿宋_GB2312" w:eastAsia="仿宋_GB2312" w:cs="仿宋_GB2312"/>
          <w:color w:val="auto"/>
          <w:spacing w:val="0"/>
          <w:sz w:val="32"/>
          <w:szCs w:val="32"/>
        </w:rPr>
        <w:t>建设单位、施工单位不得签订与招标文件、中标的投标文件实质性内容不一致的合同。施工合同、补充合同及变更合同应当在订立合同后7个工作日内到行业主管部门办理合同备案手续。行业主管部门应对备案合同以下内容进行严格审核把关：</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是否按规定采用合同示范文本，合同条款是否完备，内容是否完整准确，正、副本的内容是否完全一致。</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合同双方是否具备相应资质。</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依法必须招标的工程是否招标，招标工程合同价与中标价是否相符，合同约定的工程承包范围与招标范围是否一致，合同约定的施工工期、工程质量、工程价款的调整等实质性条款与招标文件和投标承诺是否一致。</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4</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专业承包和劳务分包合同的范围是否超出分包工程发包人的承包范围。</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5</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承包方派驻工地代表及主要项目管理人员是否具备规定的资格条件，是否与投标时承诺的人员一致。</w:t>
      </w:r>
    </w:p>
    <w:p>
      <w:pPr>
        <w:keepNext w:val="0"/>
        <w:keepLines w:val="0"/>
        <w:pageBreakBefore w:val="0"/>
        <w:kinsoku/>
        <w:wordWrap/>
        <w:overflowPunct/>
        <w:topLinePunct w:val="0"/>
        <w:autoSpaceDE/>
        <w:autoSpaceDN/>
        <w:bidi w:val="0"/>
        <w:adjustRightInd/>
        <w:spacing w:line="570" w:lineRule="exact"/>
        <w:ind w:left="640" w:leftChars="200" w:right="0" w:firstLine="0" w:firstLineChars="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6</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是否有违反法律、法规和违反合同签订原则的条款</w:t>
      </w:r>
    </w:p>
    <w:p>
      <w:pPr>
        <w:keepNext w:val="0"/>
        <w:keepLines w:val="0"/>
        <w:pageBreakBefore w:val="0"/>
        <w:kinsoku/>
        <w:wordWrap/>
        <w:overflowPunct/>
        <w:topLinePunct w:val="0"/>
        <w:autoSpaceDE/>
        <w:autoSpaceDN/>
        <w:bidi w:val="0"/>
        <w:adjustRightInd/>
        <w:spacing w:line="570" w:lineRule="exact"/>
        <w:ind w:right="0" w:firstLine="640" w:firstLineChars="200"/>
        <w:rPr>
          <w:rFonts w:ascii="仿宋" w:hAnsi="仿宋" w:eastAsia="仿宋" w:cs="仿宋"/>
          <w:color w:val="auto"/>
          <w:spacing w:val="0"/>
          <w:sz w:val="32"/>
          <w:szCs w:val="32"/>
        </w:rPr>
      </w:pP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rPr>
        <w:t>三）加强对项目经理和关键岗位人员履职情况的监督管理。</w:t>
      </w:r>
      <w:r>
        <w:rPr>
          <w:rFonts w:hint="eastAsia" w:ascii="仿宋_GB2312" w:hAnsi="仿宋_GB2312" w:eastAsia="仿宋_GB2312" w:cs="仿宋_GB2312"/>
          <w:color w:val="auto"/>
          <w:spacing w:val="0"/>
          <w:sz w:val="32"/>
          <w:szCs w:val="32"/>
        </w:rPr>
        <w:t>施工项目部、现场监理部关键岗位人员应与中标施工单位、监理单位建立劳动人事关系，中标单位派驻的项目管理人员应与投标时的登记人员相符。</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工程项目在办理建设工程质量、安全监督登记备案时，项目负责人、项目技术负责人、安全员、施工员、总监、专监须持身份证到相应的质量安全监督管理部门进行身份核对，当场签名进行笔迹备案。同时，需将项目施工、监理有关人员的管理框架图并附上照片在项目施工现场施工全过程公告。</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中标通知书发出后或不需招标的工程合同签订后，中标人投标书、合同中确定的派驻现场施工、监理有关人员应当全面履行合同约定的义务。</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对项目施工、监理关键岗位管理人员到岗情况实行考勤管理。项目经理到岗履职时间不得少于当月施工时间的80%；项目部主要管理人员（包括技术负责人、施工员、质检员、安全员等）到岗履职时间不得少于当月施工时间的90%；总监理工程师（总监代表）到岗履职时间不得少于当月施工时间的30%；专业监理工程师到岗履职时间不得少于当月施工时间的90%。</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项目施工、监理关键岗位管理人员不得随意更换，因特殊情况确定需要更换的，</w:t>
      </w:r>
      <w:r>
        <w:rPr>
          <w:rFonts w:hint="eastAsia" w:ascii="仿宋_GB2312" w:hAnsi="仿宋_GB2312" w:eastAsia="仿宋_GB2312" w:cs="仿宋_GB2312"/>
          <w:color w:val="auto"/>
          <w:spacing w:val="0"/>
          <w:sz w:val="32"/>
          <w:szCs w:val="32"/>
          <w:lang w:eastAsia="zh-CN"/>
        </w:rPr>
        <w:t>应</w:t>
      </w:r>
      <w:r>
        <w:rPr>
          <w:rFonts w:hint="eastAsia" w:ascii="仿宋_GB2312" w:hAnsi="仿宋_GB2312" w:eastAsia="仿宋_GB2312" w:cs="仿宋_GB2312"/>
          <w:color w:val="auto"/>
          <w:spacing w:val="0"/>
          <w:sz w:val="32"/>
          <w:szCs w:val="32"/>
        </w:rPr>
        <w:t>符合现场派驻人员变更的相关规定。且变更人员的执业资格等级和管理经历应符合投标文件要求，人员变更的比例不得超过施工项目部和现场监理部关键岗位总人数的50%。</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建设单位发现项目施工、监理管理人员不到岗或擅自更换的，除依据合同约定扣罚违约金外还应督促改正，拒不整改的，及时上报行业主管部门。</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监理单位发现施工管理人员不到岗或擅自更换，技术管理人员在重要施工资料上代签字的，应督促改正，拒不整改的，不得同意下道工序施工，并上报行业主管部门。</w:t>
      </w:r>
    </w:p>
    <w:p>
      <w:pPr>
        <w:keepNext w:val="0"/>
        <w:keepLines w:val="0"/>
        <w:pageBreakBefore w:val="0"/>
        <w:kinsoku/>
        <w:wordWrap/>
        <w:overflowPunct/>
        <w:topLinePunct w:val="0"/>
        <w:autoSpaceDE/>
        <w:autoSpaceDN/>
        <w:bidi w:val="0"/>
        <w:adjustRightInd/>
        <w:spacing w:line="570" w:lineRule="exact"/>
        <w:ind w:right="0"/>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 xml:space="preserve">   </w:t>
      </w:r>
      <w:r>
        <w:rPr>
          <w:rFonts w:hint="eastAsia" w:ascii="仿宋_GB2312" w:hAnsi="仿宋_GB2312" w:eastAsia="仿宋_GB2312" w:cs="仿宋_GB2312"/>
          <w:color w:val="auto"/>
          <w:spacing w:val="0"/>
          <w:sz w:val="32"/>
          <w:szCs w:val="32"/>
          <w:lang w:val="en-US" w:eastAsia="zh-CN"/>
        </w:rPr>
        <w:t xml:space="preserve"> </w:t>
      </w:r>
      <w:r>
        <w:rPr>
          <w:rFonts w:hint="eastAsia" w:ascii="仿宋_GB2312" w:hAnsi="仿宋_GB2312" w:eastAsia="仿宋_GB2312" w:cs="仿宋_GB2312"/>
          <w:color w:val="auto"/>
          <w:spacing w:val="0"/>
          <w:sz w:val="32"/>
          <w:szCs w:val="32"/>
        </w:rPr>
        <w:t>行业主管部门直属的质量安全管理机构应加强项目施工、监理管理人员到岗履职的监督管理。建立健全项目施工管理及监理人员到岗履职的考核管理系统和管理办法。在检查中发现投标承诺的施工、监理管理人员不到岗或擅自更换的，要当场责令限期整改，拒不整改或整改不到位的，依法立案查处并记入不良行为档案，列为管理重点监控对象。</w:t>
      </w:r>
    </w:p>
    <w:p>
      <w:pPr>
        <w:keepNext w:val="0"/>
        <w:keepLines w:val="0"/>
        <w:pageBreakBefore w:val="0"/>
        <w:kinsoku/>
        <w:wordWrap/>
        <w:overflowPunct/>
        <w:topLinePunct w:val="0"/>
        <w:autoSpaceDE/>
        <w:autoSpaceDN/>
        <w:bidi w:val="0"/>
        <w:adjustRightInd/>
        <w:spacing w:line="570" w:lineRule="exact"/>
        <w:ind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（四）加强竣工结算、决算的管理</w:t>
      </w:r>
      <w:r>
        <w:rPr>
          <w:rFonts w:hint="eastAsia" w:ascii="楷体_GB2312" w:hAnsi="楷体_GB2312" w:eastAsia="楷体_GB2312" w:cs="楷体_GB2312"/>
          <w:color w:val="auto"/>
          <w:spacing w:val="0"/>
          <w:sz w:val="32"/>
          <w:szCs w:val="32"/>
          <w:lang w:eastAsia="zh-CN"/>
        </w:rPr>
        <w:t>。</w:t>
      </w:r>
      <w:r>
        <w:rPr>
          <w:rFonts w:hint="eastAsia" w:ascii="仿宋_GB2312" w:hAnsi="仿宋_GB2312" w:eastAsia="仿宋_GB2312" w:cs="仿宋_GB2312"/>
          <w:color w:val="auto"/>
          <w:spacing w:val="0"/>
          <w:sz w:val="32"/>
          <w:szCs w:val="32"/>
        </w:rPr>
        <w:t>严格执行《建设工程价款结算暂行办法》（财政部、建设部财建〔2004〕369号），在规定期限内完成竣工结算审查。建设单位应当按照合同约定支付工程款，不得拖延付款。施工单位应当按照合同条款及时足额支付劳动者工资。建设单位未按合同约定支付工程款的，施工单位可以依法主张权利，但不得以未取得工程款为由拖欠劳动者工资。</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ascii="仿宋" w:hAnsi="仿宋" w:eastAsia="仿宋" w:cs="仿宋"/>
          <w:color w:val="auto"/>
          <w:spacing w:val="0"/>
          <w:sz w:val="32"/>
          <w:szCs w:val="32"/>
        </w:rPr>
      </w:pPr>
      <w:r>
        <w:rPr>
          <w:rFonts w:hint="eastAsia" w:ascii="黑体" w:hAnsi="黑体" w:eastAsia="黑体" w:cs="方正粗黑宋简体"/>
          <w:color w:val="auto"/>
          <w:spacing w:val="0"/>
          <w:sz w:val="32"/>
          <w:szCs w:val="32"/>
        </w:rPr>
        <w:t xml:space="preserve">三、明确标后履约监管的责任主体  </w:t>
      </w:r>
      <w:r>
        <w:rPr>
          <w:rFonts w:hint="eastAsia" w:ascii="仿宋" w:hAnsi="仿宋" w:eastAsia="仿宋" w:cs="仿宋"/>
          <w:color w:val="auto"/>
          <w:spacing w:val="0"/>
          <w:sz w:val="32"/>
          <w:szCs w:val="32"/>
        </w:rPr>
        <w:t xml:space="preserve"> </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（一）建设单位责任</w:t>
      </w:r>
      <w:r>
        <w:rPr>
          <w:rFonts w:hint="eastAsia" w:ascii="楷体_GB2312" w:hAnsi="楷体_GB2312" w:eastAsia="楷体_GB2312" w:cs="楷体_GB2312"/>
          <w:color w:val="auto"/>
          <w:spacing w:val="0"/>
          <w:sz w:val="32"/>
          <w:szCs w:val="32"/>
          <w:lang w:eastAsia="zh-CN"/>
        </w:rPr>
        <w:t>。</w:t>
      </w:r>
      <w:r>
        <w:rPr>
          <w:rFonts w:hint="eastAsia" w:ascii="仿宋_GB2312" w:hAnsi="仿宋_GB2312" w:eastAsia="仿宋_GB2312" w:cs="仿宋_GB2312"/>
          <w:color w:val="auto"/>
          <w:spacing w:val="0"/>
          <w:sz w:val="32"/>
          <w:szCs w:val="32"/>
        </w:rPr>
        <w:t>建设单位是工程建设标后管理的第一责任主体，建设单位对工程的建设全面负责，承担法定的责任和义务。建设单位应严格执行国家基本建设程序规定，及时完善工程建设各项手续；加强对施工现场的监督检查，核查相关资料是否与招投标文件一致，检查施工单位项目经理及项目机构管理人员是否与投标承诺的人员相符，督促项目管理机构认真履行职责，建立工程管理台帐，如实记录人员到岗履责情况；及时发现制止各类违法违规行为，并将相关情况及时报告有关职能部门；严格履行合同约定，及时支付工程进度款，在规定期限内办理工程决算。</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（二）施工单位责任。</w:t>
      </w:r>
      <w:r>
        <w:rPr>
          <w:rFonts w:hint="eastAsia" w:ascii="仿宋_GB2312" w:hAnsi="仿宋_GB2312" w:eastAsia="仿宋_GB2312" w:cs="仿宋_GB2312"/>
          <w:color w:val="auto"/>
          <w:spacing w:val="0"/>
          <w:sz w:val="32"/>
          <w:szCs w:val="32"/>
        </w:rPr>
        <w:t>施工单位是建设工程项目的具体组织实施主体，必须确保工程的质量安全。施工单位必须配备为完成建设工程施工合同任务而派驻施工现场的项目管理机构，项目管理机构人员及数量的配置必须按有关规定执行。派驻现场项目部的项目经理、技术负责人、施工员、材料员、质检员、安全员、造价员等主要施工管理人员必须与其投标承诺相一致，持证上岗并保证驻地工作时间，不得擅自更换。不得将工程转包和违法分包，严格按照建设规范和程序施工，确保工程质量、安全和工期。</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（三）监理单位责任。</w:t>
      </w:r>
      <w:r>
        <w:rPr>
          <w:rFonts w:hint="eastAsia" w:ascii="仿宋_GB2312" w:hAnsi="仿宋_GB2312" w:eastAsia="仿宋_GB2312" w:cs="仿宋_GB2312"/>
          <w:color w:val="auto"/>
          <w:spacing w:val="0"/>
          <w:sz w:val="32"/>
          <w:szCs w:val="32"/>
        </w:rPr>
        <w:t>监理单位要依照法律、法规以及有关技术标准、设计文件和建设工程承包合同，对建设项目的质量、安全、造价、工期进行全过程、全方位的监控。督促施工单位建立质量、安全保证体系，监督其项目经理、技术负责人、其他技术人员以及大型的施工机械设备按投标承诺的条件及时到位。发现工程项目建设中存在违法违规违约行为要立即制止，并上报行业主管部门。</w:t>
      </w:r>
    </w:p>
    <w:p>
      <w:pPr>
        <w:keepNext w:val="0"/>
        <w:keepLines w:val="0"/>
        <w:pageBreakBefore w:val="0"/>
        <w:kinsoku/>
        <w:wordWrap/>
        <w:overflowPunct/>
        <w:topLinePunct w:val="0"/>
        <w:autoSpaceDE/>
        <w:autoSpaceDN/>
        <w:bidi w:val="0"/>
        <w:adjustRightInd/>
        <w:spacing w:line="570" w:lineRule="exact"/>
        <w:ind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（四）行业主管部门责任。</w:t>
      </w:r>
      <w:r>
        <w:rPr>
          <w:rFonts w:hint="eastAsia" w:ascii="仿宋_GB2312" w:hAnsi="仿宋_GB2312" w:eastAsia="仿宋_GB2312" w:cs="仿宋_GB2312"/>
          <w:color w:val="auto"/>
          <w:spacing w:val="0"/>
          <w:sz w:val="32"/>
          <w:szCs w:val="32"/>
        </w:rPr>
        <w:t>住建、交通、水利等行业主管部门依据各自的职责，负责对本行业建设工程项目标后日常监督管理工作。对工程建设各方主体履行责任及执行制度情况组织监督检查；对建设工程实施过程中的施工合同履约情况进行跟踪监督管理；对施工现场实行定期和不定期动态巡查，如实记录巡查情况，建立建设工程巡查记录登记制度；负责工程建设各方主体不良行为记录公示和违法违规行为的查处。</w:t>
      </w:r>
      <w:r>
        <w:rPr>
          <w:rFonts w:hint="eastAsia" w:ascii="仿宋_GB2312" w:hAnsi="仿宋" w:eastAsia="仿宋_GB2312"/>
          <w:color w:val="auto"/>
          <w:spacing w:val="0"/>
          <w:sz w:val="32"/>
          <w:szCs w:val="32"/>
          <w:lang w:eastAsia="zh-CN"/>
        </w:rPr>
        <w:t>行业主管部门</w:t>
      </w:r>
      <w:r>
        <w:rPr>
          <w:rFonts w:hint="eastAsia" w:ascii="仿宋_GB2312" w:hAnsi="仿宋" w:eastAsia="仿宋_GB2312"/>
          <w:color w:val="auto"/>
          <w:spacing w:val="0"/>
          <w:sz w:val="32"/>
          <w:szCs w:val="32"/>
        </w:rPr>
        <w:t>严肃查处中标人不按合同履约的行为，</w:t>
      </w:r>
      <w:r>
        <w:rPr>
          <w:rFonts w:hint="eastAsia" w:ascii="仿宋_GB2312" w:hAnsi="仿宋" w:eastAsia="仿宋_GB2312"/>
          <w:color w:val="auto"/>
          <w:spacing w:val="0"/>
          <w:sz w:val="32"/>
          <w:szCs w:val="32"/>
          <w:lang w:eastAsia="zh-CN"/>
        </w:rPr>
        <w:t>对发现的</w:t>
      </w:r>
      <w:r>
        <w:rPr>
          <w:rFonts w:hint="eastAsia" w:ascii="仿宋_GB2312" w:hAnsi="仿宋" w:eastAsia="仿宋_GB2312"/>
          <w:color w:val="auto"/>
          <w:spacing w:val="0"/>
          <w:sz w:val="32"/>
          <w:szCs w:val="32"/>
        </w:rPr>
        <w:t>转包和违法分包</w:t>
      </w:r>
      <w:r>
        <w:rPr>
          <w:rFonts w:hint="eastAsia" w:ascii="仿宋_GB2312" w:hAnsi="仿宋" w:eastAsia="仿宋_GB2312"/>
          <w:color w:val="auto"/>
          <w:spacing w:val="0"/>
          <w:sz w:val="32"/>
          <w:szCs w:val="32"/>
          <w:lang w:eastAsia="zh-CN"/>
        </w:rPr>
        <w:t>等违法违规</w:t>
      </w:r>
      <w:r>
        <w:rPr>
          <w:rFonts w:hint="eastAsia" w:ascii="仿宋_GB2312" w:hAnsi="仿宋" w:eastAsia="仿宋_GB2312"/>
          <w:color w:val="auto"/>
          <w:spacing w:val="0"/>
          <w:sz w:val="32"/>
          <w:szCs w:val="32"/>
        </w:rPr>
        <w:t>行为严厉打击，</w:t>
      </w:r>
      <w:r>
        <w:rPr>
          <w:rFonts w:hint="eastAsia" w:ascii="仿宋_GB2312" w:hAnsi="仿宋" w:eastAsia="仿宋_GB2312"/>
          <w:color w:val="auto"/>
          <w:spacing w:val="0"/>
          <w:sz w:val="32"/>
          <w:szCs w:val="32"/>
          <w:lang w:eastAsia="zh-CN"/>
        </w:rPr>
        <w:t>对不诚信的行为录</w:t>
      </w:r>
      <w:r>
        <w:rPr>
          <w:rFonts w:hint="eastAsia" w:ascii="仿宋_GB2312" w:hAnsi="仿宋" w:eastAsia="仿宋_GB2312"/>
          <w:color w:val="auto"/>
          <w:spacing w:val="0"/>
          <w:sz w:val="32"/>
          <w:szCs w:val="32"/>
        </w:rPr>
        <w:t>入信用信息系统，实行“一次失信、处处受限”</w:t>
      </w:r>
      <w:r>
        <w:rPr>
          <w:rFonts w:hint="eastAsia" w:ascii="仿宋_GB2312" w:hAnsi="仿宋" w:eastAsia="仿宋_GB2312"/>
          <w:color w:val="auto"/>
          <w:spacing w:val="0"/>
          <w:sz w:val="32"/>
          <w:szCs w:val="32"/>
          <w:lang w:eastAsia="zh-CN"/>
        </w:rPr>
        <w:t>，</w:t>
      </w:r>
      <w:r>
        <w:rPr>
          <w:rFonts w:hint="eastAsia" w:ascii="仿宋_GB2312" w:hAnsi="仿宋_GB2312" w:eastAsia="仿宋_GB2312" w:cs="仿宋_GB2312"/>
          <w:color w:val="auto"/>
          <w:spacing w:val="0"/>
          <w:sz w:val="32"/>
          <w:szCs w:val="32"/>
        </w:rPr>
        <w:t>对建设单位的违法违规行为，书面向纪检监察机关报告。</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（五）综合监管部门责任。</w:t>
      </w:r>
      <w:r>
        <w:rPr>
          <w:rFonts w:hint="eastAsia" w:ascii="仿宋_GB2312" w:hAnsi="仿宋_GB2312" w:eastAsia="仿宋_GB2312" w:cs="仿宋_GB2312"/>
          <w:color w:val="auto"/>
          <w:spacing w:val="0"/>
          <w:sz w:val="32"/>
          <w:szCs w:val="32"/>
        </w:rPr>
        <w:t>会同行业主管部门查处招投标过程中及标后履约中的违法违规行为，在行业主管部门对标后履约中的违法违规行为作出处理后，配合做好标后履约中不良行为的记录和处理工作。对掌握的建设单位不履行或不正确履行标后监管主体责任的违法违规行为，向纪检监察机关移送相关线索。</w:t>
      </w:r>
    </w:p>
    <w:p>
      <w:pPr>
        <w:keepNext w:val="0"/>
        <w:keepLines w:val="0"/>
        <w:pageBreakBefore w:val="0"/>
        <w:kinsoku/>
        <w:wordWrap/>
        <w:overflowPunct/>
        <w:topLinePunct w:val="0"/>
        <w:autoSpaceDE/>
        <w:autoSpaceDN/>
        <w:bidi w:val="0"/>
        <w:adjustRightInd/>
        <w:spacing w:line="570" w:lineRule="exact"/>
        <w:ind w:left="0" w:leftChars="0" w:right="0" w:firstLine="640" w:firstLineChars="200"/>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rPr>
        <w:t>（六）监察机关的职责。</w:t>
      </w:r>
      <w:r>
        <w:rPr>
          <w:rFonts w:hint="eastAsia" w:ascii="仿宋_GB2312" w:hAnsi="仿宋_GB2312" w:eastAsia="仿宋_GB2312" w:cs="仿宋_GB2312"/>
          <w:color w:val="auto"/>
          <w:spacing w:val="0"/>
          <w:sz w:val="32"/>
          <w:szCs w:val="32"/>
        </w:rPr>
        <w:t>依法监督政府投资项目行政监督管理部门履行监督管理职责的情况;依法对建设单位在标后履约中的履职情况进行监督;依法对政府投资建设项目中各单位有关廉洁制度的建立、落实情况进行监督;受理招投标活动当事人、其他利害关系人以及知情人对建设工程中违法违纪行为的投诉、举报并进行处理;依法查处标后监管中的履职不到位、行政不作为、徇私舞弊或滥用职权的行为。</w:t>
      </w:r>
    </w:p>
    <w:p>
      <w:pPr>
        <w:pStyle w:val="2"/>
        <w:keepNext w:val="0"/>
        <w:keepLines w:val="0"/>
        <w:pageBreakBefore w:val="0"/>
        <w:kinsoku/>
        <w:wordWrap/>
        <w:overflowPunct/>
        <w:topLinePunct w:val="0"/>
        <w:autoSpaceDE/>
        <w:autoSpaceDN/>
        <w:bidi w:val="0"/>
        <w:adjustRightInd/>
        <w:spacing w:line="570" w:lineRule="exact"/>
        <w:rPr>
          <w:rFonts w:hint="eastAsia" w:ascii="仿宋_GB2312" w:hAnsi="仿宋_GB2312" w:eastAsia="仿宋_GB2312" w:cs="仿宋_GB2312"/>
          <w:color w:val="auto"/>
          <w:spacing w:val="0"/>
          <w:sz w:val="32"/>
          <w:szCs w:val="32"/>
        </w:rPr>
      </w:pPr>
    </w:p>
    <w:p>
      <w:pPr>
        <w:keepNext w:val="0"/>
        <w:keepLines w:val="0"/>
        <w:pageBreakBefore w:val="0"/>
        <w:kinsoku/>
        <w:wordWrap/>
        <w:overflowPunct/>
        <w:topLinePunct w:val="0"/>
        <w:autoSpaceDE/>
        <w:autoSpaceDN/>
        <w:bidi w:val="0"/>
        <w:adjustRightInd/>
        <w:spacing w:line="570" w:lineRule="exact"/>
        <w:rPr>
          <w:rFonts w:hint="eastAsia"/>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2880" w:firstLineChars="9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eastAsia="zh-CN"/>
        </w:rPr>
        <w:t>宣恩县公共资源交易管理委员会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4160" w:firstLineChars="1300"/>
        <w:textAlignment w:val="auto"/>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val="en-US" w:eastAsia="zh-CN"/>
        </w:rPr>
        <w:t>2020年10月  日</w:t>
      </w:r>
    </w:p>
    <w:p>
      <w:pPr>
        <w:keepNext w:val="0"/>
        <w:keepLines w:val="0"/>
        <w:pageBreakBefore w:val="0"/>
        <w:kinsoku/>
        <w:wordWrap/>
        <w:overflowPunct/>
        <w:topLinePunct w:val="0"/>
        <w:autoSpaceDE/>
        <w:autoSpaceDN/>
        <w:bidi w:val="0"/>
        <w:adjustRightInd/>
        <w:spacing w:line="570" w:lineRule="exact"/>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粗黑宋简体">
    <w:panose1 w:val="02000000000000000000"/>
    <w:charset w:val="86"/>
    <w:family w:val="auto"/>
    <w:pitch w:val="default"/>
    <w:sig w:usb0="A00002BF" w:usb1="184F6CFA"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ind w:right="320" w:rightChars="100"/>
                            <w:rPr>
                              <w:rStyle w:val="12"/>
                              <w:rFonts w:hint="eastAsia" w:ascii="宋体" w:hAnsi="宋体" w:eastAsia="宋体"/>
                              <w:sz w:val="28"/>
                              <w:szCs w:val="28"/>
                            </w:rPr>
                          </w:pPr>
                          <w:r>
                            <w:rPr>
                              <w:rStyle w:val="12"/>
                              <w:rFonts w:hint="eastAsia" w:ascii="宋体" w:hAnsi="宋体" w:eastAsia="宋体"/>
                              <w:sz w:val="28"/>
                              <w:szCs w:val="28"/>
                            </w:rPr>
                            <w:t xml:space="preserve">— </w:t>
                          </w:r>
                          <w:r>
                            <w:rPr>
                              <w:rFonts w:ascii="宋体" w:hAnsi="宋体" w:eastAsia="宋体"/>
                              <w:sz w:val="28"/>
                              <w:szCs w:val="28"/>
                            </w:rPr>
                            <w:fldChar w:fldCharType="begin"/>
                          </w:r>
                          <w:r>
                            <w:rPr>
                              <w:rStyle w:val="12"/>
                              <w:rFonts w:ascii="宋体" w:hAnsi="宋体" w:eastAsia="宋体"/>
                              <w:sz w:val="28"/>
                              <w:szCs w:val="28"/>
                            </w:rPr>
                            <w:instrText xml:space="preserve">PAGE  </w:instrText>
                          </w:r>
                          <w:r>
                            <w:rPr>
                              <w:rFonts w:ascii="宋体" w:hAnsi="宋体" w:eastAsia="宋体"/>
                              <w:sz w:val="28"/>
                              <w:szCs w:val="28"/>
                            </w:rPr>
                            <w:fldChar w:fldCharType="separate"/>
                          </w:r>
                          <w:r>
                            <w:rPr>
                              <w:rStyle w:val="12"/>
                              <w:rFonts w:ascii="宋体" w:hAnsi="宋体" w:eastAsia="宋体"/>
                              <w:sz w:val="28"/>
                              <w:szCs w:val="28"/>
                            </w:rPr>
                            <w:t>21</w:t>
                          </w:r>
                          <w:r>
                            <w:rPr>
                              <w:rFonts w:ascii="宋体" w:hAnsi="宋体" w:eastAsia="宋体"/>
                              <w:sz w:val="28"/>
                              <w:szCs w:val="28"/>
                            </w:rPr>
                            <w:fldChar w:fldCharType="end"/>
                          </w:r>
                          <w:r>
                            <w:rPr>
                              <w:rStyle w:val="12"/>
                              <w:rFonts w:hint="eastAsia" w:ascii="宋体" w:hAnsi="宋体" w:eastAsia="宋体"/>
                              <w:sz w:val="28"/>
                              <w:szCs w:val="28"/>
                            </w:rPr>
                            <w:t xml:space="preserve"> —</w:t>
                          </w:r>
                        </w:p>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ind w:right="320" w:rightChars="100"/>
                      <w:rPr>
                        <w:rStyle w:val="12"/>
                        <w:rFonts w:hint="eastAsia" w:ascii="宋体" w:hAnsi="宋体" w:eastAsia="宋体"/>
                        <w:sz w:val="28"/>
                        <w:szCs w:val="28"/>
                      </w:rPr>
                    </w:pPr>
                    <w:r>
                      <w:rPr>
                        <w:rStyle w:val="12"/>
                        <w:rFonts w:hint="eastAsia" w:ascii="宋体" w:hAnsi="宋体" w:eastAsia="宋体"/>
                        <w:sz w:val="28"/>
                        <w:szCs w:val="28"/>
                      </w:rPr>
                      <w:t xml:space="preserve">— </w:t>
                    </w:r>
                    <w:r>
                      <w:rPr>
                        <w:rFonts w:ascii="宋体" w:hAnsi="宋体" w:eastAsia="宋体"/>
                        <w:sz w:val="28"/>
                        <w:szCs w:val="28"/>
                      </w:rPr>
                      <w:fldChar w:fldCharType="begin"/>
                    </w:r>
                    <w:r>
                      <w:rPr>
                        <w:rStyle w:val="12"/>
                        <w:rFonts w:ascii="宋体" w:hAnsi="宋体" w:eastAsia="宋体"/>
                        <w:sz w:val="28"/>
                        <w:szCs w:val="28"/>
                      </w:rPr>
                      <w:instrText xml:space="preserve">PAGE  </w:instrText>
                    </w:r>
                    <w:r>
                      <w:rPr>
                        <w:rFonts w:ascii="宋体" w:hAnsi="宋体" w:eastAsia="宋体"/>
                        <w:sz w:val="28"/>
                        <w:szCs w:val="28"/>
                      </w:rPr>
                      <w:fldChar w:fldCharType="separate"/>
                    </w:r>
                    <w:r>
                      <w:rPr>
                        <w:rStyle w:val="12"/>
                        <w:rFonts w:ascii="宋体" w:hAnsi="宋体" w:eastAsia="宋体"/>
                        <w:sz w:val="28"/>
                        <w:szCs w:val="28"/>
                      </w:rPr>
                      <w:t>21</w:t>
                    </w:r>
                    <w:r>
                      <w:rPr>
                        <w:rFonts w:ascii="宋体" w:hAnsi="宋体" w:eastAsia="宋体"/>
                        <w:sz w:val="28"/>
                        <w:szCs w:val="28"/>
                      </w:rPr>
                      <w:fldChar w:fldCharType="end"/>
                    </w:r>
                    <w:r>
                      <w:rPr>
                        <w:rStyle w:val="12"/>
                        <w:rFonts w:hint="eastAsia" w:ascii="宋体" w:hAnsi="宋体" w:eastAsia="宋体"/>
                        <w:sz w:val="28"/>
                        <w:szCs w:val="28"/>
                      </w:rPr>
                      <w:t xml:space="preserve"> —</w:t>
                    </w:r>
                  </w:p>
                  <w:p>
                    <w:pPr>
                      <w:rPr>
                        <w:rFonts w:hint="eastAsia"/>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E1DED"/>
    <w:multiLevelType w:val="singleLevel"/>
    <w:tmpl w:val="F3DE1DE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CD7D2C"/>
    <w:rsid w:val="03994540"/>
    <w:rsid w:val="106815E4"/>
    <w:rsid w:val="1399206D"/>
    <w:rsid w:val="14646539"/>
    <w:rsid w:val="19103872"/>
    <w:rsid w:val="20A0110A"/>
    <w:rsid w:val="24167B48"/>
    <w:rsid w:val="28971617"/>
    <w:rsid w:val="289C7D3A"/>
    <w:rsid w:val="290305A6"/>
    <w:rsid w:val="2A6D21DB"/>
    <w:rsid w:val="2BB718AF"/>
    <w:rsid w:val="2C3C40D5"/>
    <w:rsid w:val="2CAD4C37"/>
    <w:rsid w:val="2D5A525D"/>
    <w:rsid w:val="37BA050E"/>
    <w:rsid w:val="3F5A1FA9"/>
    <w:rsid w:val="432E149A"/>
    <w:rsid w:val="44CD7D2C"/>
    <w:rsid w:val="48A90203"/>
    <w:rsid w:val="48E437DD"/>
    <w:rsid w:val="4F9C67A5"/>
    <w:rsid w:val="51151E1F"/>
    <w:rsid w:val="55473827"/>
    <w:rsid w:val="5B734C54"/>
    <w:rsid w:val="61EA5ADA"/>
    <w:rsid w:val="65B55B83"/>
    <w:rsid w:val="66C5798B"/>
    <w:rsid w:val="6B28522A"/>
    <w:rsid w:val="6C6B1A32"/>
    <w:rsid w:val="7000374B"/>
    <w:rsid w:val="760D74B9"/>
    <w:rsid w:val="7A956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character" w:default="1" w:styleId="9">
    <w:name w:val="Default Paragraph Font"/>
    <w:link w:val="10"/>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Body Text First Indent 21"/>
    <w:basedOn w:val="3"/>
    <w:next w:val="1"/>
    <w:qFormat/>
    <w:uiPriority w:val="99"/>
    <w:pPr>
      <w:ind w:firstLine="420" w:firstLineChars="200"/>
    </w:pPr>
  </w:style>
  <w:style w:type="paragraph" w:customStyle="1" w:styleId="3">
    <w:name w:val="Body Text Indent1"/>
    <w:basedOn w:val="1"/>
    <w:next w:val="1"/>
    <w:qFormat/>
    <w:uiPriority w:val="99"/>
    <w:pPr>
      <w:ind w:left="420" w:leftChars="200"/>
    </w:pPr>
    <w:rPr>
      <w:rFonts w:ascii="Times New Roman" w:hAnsi="Times New Roman"/>
    </w:rPr>
  </w:style>
  <w:style w:type="paragraph" w:styleId="4">
    <w:name w:val="Body Text"/>
    <w:basedOn w:val="1"/>
    <w:qFormat/>
    <w:uiPriority w:val="1"/>
    <w:rPr>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pPr>
    <w:rPr>
      <w:sz w:val="24"/>
      <w:szCs w:val="24"/>
    </w:rPr>
  </w:style>
  <w:style w:type="paragraph" w:customStyle="1" w:styleId="10">
    <w:name w:val="Char"/>
    <w:basedOn w:val="1"/>
    <w:link w:val="9"/>
    <w:qFormat/>
    <w:uiPriority w:val="0"/>
    <w:pPr>
      <w:widowControl/>
      <w:spacing w:after="160" w:line="240" w:lineRule="exact"/>
      <w:jc w:val="left"/>
    </w:pPr>
  </w:style>
  <w:style w:type="character" w:styleId="11">
    <w:name w:val="Strong"/>
    <w:basedOn w:val="9"/>
    <w:qFormat/>
    <w:uiPriority w:val="0"/>
    <w:rPr>
      <w:b/>
    </w:rPr>
  </w:style>
  <w:style w:type="character" w:styleId="12">
    <w:name w:val="page number"/>
    <w:basedOn w:val="9"/>
    <w:qFormat/>
    <w:uiPriority w:val="0"/>
  </w:style>
  <w:style w:type="paragraph" w:customStyle="1" w:styleId="13">
    <w:name w:val="Body text|1"/>
    <w:basedOn w:val="1"/>
    <w:qFormat/>
    <w:uiPriority w:val="0"/>
    <w:pPr>
      <w:spacing w:line="391" w:lineRule="auto"/>
      <w:ind w:firstLine="400"/>
    </w:pPr>
    <w:rPr>
      <w:rFonts w:ascii="宋体" w:hAnsi="宋体" w:eastAsia="宋体" w:cs="宋体"/>
      <w:sz w:val="30"/>
      <w:szCs w:val="30"/>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2020-10-15T02:45:00Z</dcterms:created>
  <dc:creator>忘我逍遥</dc:creator>
  <cp:lastModifiedBy>江康适</cp:lastModifiedBy>
  <cp:lastPrinted>2020-10-30T04:16:00Z</cp:lastPrinted>
  <dcterms:modified xsi:type="dcterms:W3CDTF">2021-10-12T03:06:26Z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C9F1353BEC33428694B7F5CF98045301</vt:lpwstr>
  </property>
</Properties>
</file>