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sz w:val="32"/>
        </w:rPr>
        <mc:AlternateContent>
          <mc:Choice Requires="wps">
            <w:drawing>
              <wp:anchor distT="0" distB="0" distL="114300" distR="114300" simplePos="0" relativeHeight="251658240" behindDoc="0" locked="0" layoutInCell="1" allowOverlap="1">
                <wp:simplePos x="0" y="0"/>
                <wp:positionH relativeFrom="column">
                  <wp:posOffset>-45720</wp:posOffset>
                </wp:positionH>
                <wp:positionV relativeFrom="paragraph">
                  <wp:posOffset>30480</wp:posOffset>
                </wp:positionV>
                <wp:extent cx="5795645" cy="1352550"/>
                <wp:effectExtent l="0" t="0" r="14605" b="0"/>
                <wp:wrapNone/>
                <wp:docPr id="5" name="文本框 5"/>
                <wp:cNvGraphicFramePr/>
                <a:graphic xmlns:a="http://schemas.openxmlformats.org/drawingml/2006/main">
                  <a:graphicData uri="http://schemas.microsoft.com/office/word/2010/wordprocessingShape">
                    <wps:wsp>
                      <wps:cNvSpPr txBox="1"/>
                      <wps:spPr>
                        <a:xfrm>
                          <a:off x="1002030" y="1360170"/>
                          <a:ext cx="5795645" cy="1352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ascii="方正小标宋简体" w:hAnsi="方正小标宋简体" w:eastAsia="方正小标宋简体" w:cs="方正小标宋简体"/>
                                <w:color w:val="FF0000"/>
                                <w:spacing w:val="-34"/>
                                <w:w w:val="48"/>
                                <w:kern w:val="72"/>
                                <w:position w:val="6"/>
                                <w:sz w:val="150"/>
                                <w:szCs w:val="150"/>
                                <w:lang w:eastAsia="zh-CN"/>
                              </w:rPr>
                              <w:t>宣恩县公共资源交易管理委员会</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6pt;margin-top:2.4pt;height:106.5pt;width:456.35pt;z-index:251658240;mso-width-relative:page;mso-height-relative:page;" fillcolor="#FFFFFF [3201]" filled="t" stroked="f" coordsize="21600,21600" o:gfxdata="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CxKhPWAAAACAEAAA8AAAAAAAAAAQAgAAAAIgAAAGRycy9kb3ducmV2Lnht&#10;bFBLAQIUABQAAAAIAIdO4kDvCEIfNAIAAD4EAAAOAAAAAAAAAAEAIAAAACUBAABkcnMvZTJvRG9j&#10;LnhtbFBLBQYAAAAABgAGAFkBAADLBQAAAAA=&#10;">
                <v:fill on="t" focussize="0,0"/>
                <v:stroke on="f" weight="0.5pt"/>
                <v:imagedata o:title=""/>
                <o:lock v:ext="edit" aspectratio="f"/>
                <v:textbox inset="0mm,0mm,0mm,0mm">
                  <w:txbxContent>
                    <w:p>
                      <w:pPr>
                        <w:rPr>
                          <w:rFonts w:hint="eastAsia"/>
                        </w:rPr>
                      </w:pPr>
                      <w:r>
                        <w:rPr>
                          <w:rFonts w:hint="eastAsia" w:ascii="方正小标宋简体" w:hAnsi="方正小标宋简体" w:eastAsia="方正小标宋简体" w:cs="方正小标宋简体"/>
                          <w:color w:val="FF0000"/>
                          <w:spacing w:val="-34"/>
                          <w:w w:val="48"/>
                          <w:kern w:val="72"/>
                          <w:position w:val="6"/>
                          <w:sz w:val="150"/>
                          <w:szCs w:val="150"/>
                          <w:lang w:eastAsia="zh-CN"/>
                        </w:rPr>
                        <w:t>宣恩县公共资源交易管理委员会</w:t>
                      </w:r>
                    </w:p>
                  </w:txbxContent>
                </v:textbox>
              </v:shape>
            </w:pict>
          </mc:Fallback>
        </mc:AlternateContent>
      </w:r>
    </w:p>
    <w:p/>
    <w:p/>
    <w:p/>
    <w:p>
      <w:pPr>
        <w:pStyle w:val="2"/>
        <w:ind w:firstLine="2368" w:firstLineChars="800"/>
      </w:pPr>
      <w:r>
        <w:rPr>
          <w:rFonts w:hint="eastAsia" w:ascii="仿宋_GB2312" w:hAnsi="仿宋_GB2312" w:eastAsia="仿宋_GB2312" w:cs="仿宋_GB2312"/>
          <w:sz w:val="30"/>
          <w:szCs w:val="30"/>
          <w:lang w:eastAsia="zh-CN"/>
        </w:rPr>
        <w:t>宣公</w:t>
      </w:r>
      <w:r>
        <w:rPr>
          <w:rFonts w:hint="eastAsia" w:ascii="仿宋_GB2312" w:hAnsi="仿宋_GB2312" w:eastAsia="仿宋_GB2312" w:cs="仿宋_GB2312"/>
          <w:sz w:val="30"/>
          <w:szCs w:val="30"/>
        </w:rPr>
        <w:t>管委</w:t>
      </w:r>
      <w:r>
        <w:rPr>
          <w:rFonts w:ascii="仿宋_GB2312" w:hAnsi="仿宋_GB2312" w:eastAsia="仿宋_GB2312" w:cs="仿宋_GB2312"/>
          <w:sz w:val="30"/>
          <w:szCs w:val="30"/>
        </w:rPr>
        <w:t>〔</w:t>
      </w:r>
      <w:r>
        <w:rPr>
          <w:rFonts w:hint="eastAsia" w:ascii="仿宋_GB2312" w:hAnsi="仿宋_GB2312" w:eastAsia="仿宋_GB2312" w:cs="仿宋_GB2312"/>
          <w:sz w:val="30"/>
          <w:szCs w:val="30"/>
        </w:rPr>
        <w:t>2020</w:t>
      </w:r>
      <w:r>
        <w:rPr>
          <w:rFonts w:ascii="仿宋_GB2312" w:hAnsi="仿宋_GB2312" w:eastAsia="仿宋_GB2312" w:cs="仿宋_GB2312"/>
          <w:sz w:val="30"/>
          <w:szCs w:val="30"/>
        </w:rPr>
        <w:t>〕</w:t>
      </w:r>
      <w:r>
        <w:rPr>
          <w:rFonts w:hint="eastAsia" w:ascii="仿宋_GB2312" w:hAnsi="仿宋_GB2312" w:eastAsia="仿宋_GB2312" w:cs="仿宋_GB2312"/>
          <w:sz w:val="30"/>
          <w:szCs w:val="30"/>
          <w:lang w:val="en-US" w:eastAsia="zh-CN"/>
        </w:rPr>
        <w:t>7</w:t>
      </w:r>
      <w:r>
        <w:rPr>
          <w:rFonts w:hint="eastAsia" w:ascii="仿宋_GB2312" w:hAnsi="仿宋_GB2312" w:eastAsia="仿宋_GB2312" w:cs="仿宋_GB2312"/>
          <w:sz w:val="30"/>
          <w:szCs w:val="30"/>
        </w:rPr>
        <w:t>号</w:t>
      </w:r>
    </w:p>
    <w:p>
      <w:pPr>
        <w:keepNext w:val="0"/>
        <w:keepLines w:val="0"/>
        <w:pageBreakBefore w:val="0"/>
        <w:widowControl w:val="0"/>
        <w:kinsoku/>
        <w:wordWrap/>
        <w:overflowPunct/>
        <w:topLinePunct w:val="0"/>
        <w:autoSpaceDE/>
        <w:autoSpaceDN/>
        <w:bidi w:val="0"/>
        <w:adjustRightInd/>
        <w:snapToGrid/>
        <w:spacing w:line="570" w:lineRule="exact"/>
        <w:ind w:right="0"/>
        <w:jc w:val="center"/>
        <w:textAlignment w:val="auto"/>
        <w:rPr>
          <w:rFonts w:hint="eastAsia" w:ascii="方正小标宋简体" w:hAnsi="方正小标宋简体" w:eastAsia="方正小标宋简体" w:cs="方正小标宋简体"/>
          <w:color w:val="auto"/>
          <w:spacing w:val="0"/>
          <w:sz w:val="44"/>
          <w:szCs w:val="44"/>
          <w:shd w:val="clear" w:color="auto" w:fill="auto"/>
          <w:lang w:eastAsia="zh-CN"/>
        </w:rPr>
      </w:pPr>
      <w:r>
        <mc:AlternateContent>
          <mc:Choice Requires="wps">
            <w:drawing>
              <wp:anchor distT="0" distB="0" distL="114300" distR="114300" simplePos="0" relativeHeight="251664384" behindDoc="0" locked="0" layoutInCell="1" allowOverlap="1">
                <wp:simplePos x="0" y="0"/>
                <wp:positionH relativeFrom="column">
                  <wp:posOffset>13970</wp:posOffset>
                </wp:positionH>
                <wp:positionV relativeFrom="paragraph">
                  <wp:posOffset>19050</wp:posOffset>
                </wp:positionV>
                <wp:extent cx="55245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5524500" cy="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1pt;margin-top:1.5pt;height:0pt;width:435pt;z-index:251664384;mso-width-relative:page;mso-height-relative:page;" filled="f" stroked="t" coordsize="21600,21600" o:gfxdata="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tChEm9AAAAAFAQAADwAAAAAAAAABACAAAAAiAAAAZHJzL2Rvd25yZXYu&#10;eG1sUEsBAhQAFAAAAAgAh07iQHJSR5nKAQAAZAMAAA4AAAAAAAAAAQAgAAAAHwEAAGRycy9lMm9E&#10;b2MueG1sUEsFBgAAAAAGAAYAWQEAAFsFAAAAAA==&#10;">
                <v:fill on="f" focussize="0,0"/>
                <v:stroke weight="1.5pt" color="#FF0000 [3205]" miterlimit="8" joinstyle="miter"/>
                <v:imagedata o:title=""/>
                <o:lock v:ext="edit" aspectratio="f"/>
              </v:line>
            </w:pict>
          </mc:Fallback>
        </mc:AlternateContent>
      </w:r>
    </w:p>
    <w:p>
      <w:pPr>
        <w:pStyle w:val="2"/>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rPr>
          <w:rFonts w:hint="eastAsia" w:ascii="方正小标宋简体" w:hAnsi="方正小标宋简体" w:eastAsia="方正小标宋简体" w:cs="方正小标宋简体"/>
          <w:b w:val="0"/>
          <w:bCs w:val="0"/>
          <w:color w:val="auto"/>
          <w:spacing w:val="0"/>
          <w:sz w:val="44"/>
          <w:szCs w:val="44"/>
          <w:lang w:val="en-US" w:eastAsia="zh-CN"/>
        </w:rPr>
      </w:pPr>
      <w:r>
        <w:rPr>
          <w:rFonts w:hint="eastAsia" w:ascii="方正小标宋简体" w:hAnsi="方正小标宋简体" w:eastAsia="方正小标宋简体" w:cs="方正小标宋简体"/>
          <w:b w:val="0"/>
          <w:bCs w:val="0"/>
          <w:color w:val="auto"/>
          <w:spacing w:val="0"/>
          <w:sz w:val="44"/>
          <w:szCs w:val="44"/>
          <w:lang w:val="en-US" w:eastAsia="zh-CN"/>
        </w:rPr>
        <w:t>关于印发《</w:t>
      </w:r>
      <w:r>
        <w:rPr>
          <w:rFonts w:hint="eastAsia" w:ascii="方正小标宋简体" w:hAnsi="方正小标宋简体" w:eastAsia="方正小标宋简体" w:cs="方正小标宋简体"/>
          <w:color w:val="auto"/>
          <w:spacing w:val="0"/>
          <w:sz w:val="44"/>
          <w:szCs w:val="44"/>
          <w:shd w:val="clear" w:color="auto" w:fill="auto"/>
          <w:lang w:eastAsia="zh-CN"/>
        </w:rPr>
        <w:t>宣恩县建设工程招投标评定分离定标工作指导规则（试行）</w:t>
      </w:r>
      <w:r>
        <w:rPr>
          <w:rFonts w:hint="eastAsia" w:ascii="方正小标宋简体" w:hAnsi="方正小标宋简体" w:eastAsia="方正小标宋简体" w:cs="方正小标宋简体"/>
          <w:b w:val="0"/>
          <w:bCs w:val="0"/>
          <w:color w:val="auto"/>
          <w:spacing w:val="0"/>
          <w:sz w:val="44"/>
          <w:szCs w:val="44"/>
          <w:lang w:val="en-US" w:eastAsia="zh-CN"/>
        </w:rPr>
        <w:t>》的通知</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spacing w:val="6"/>
          <w:sz w:val="32"/>
          <w:szCs w:val="32"/>
          <w:lang w:val="en-US" w:eastAsia="zh-CN"/>
        </w:rPr>
        <w:t>各乡镇人民政府、县直各部门：</w:t>
      </w:r>
    </w:p>
    <w:p>
      <w:pPr>
        <w:pStyle w:val="2"/>
        <w:keepNext w:val="0"/>
        <w:keepLines w:val="0"/>
        <w:pageBreakBefore w:val="0"/>
        <w:widowControl w:val="0"/>
        <w:kinsoku/>
        <w:wordWrap/>
        <w:overflowPunct/>
        <w:topLinePunct w:val="0"/>
        <w:autoSpaceDE/>
        <w:autoSpaceDN/>
        <w:bidi w:val="0"/>
        <w:adjustRightInd/>
        <w:snapToGrid/>
        <w:spacing w:line="570" w:lineRule="exact"/>
        <w:ind w:left="0" w:leftChars="0" w:firstLine="656" w:firstLineChars="200"/>
        <w:textAlignment w:val="auto"/>
        <w:rPr>
          <w:rFonts w:hint="eastAsia" w:ascii="仿宋_GB2312" w:hAnsi="仿宋_GB2312" w:eastAsia="仿宋_GB2312" w:cs="仿宋_GB2312"/>
          <w:b w:val="0"/>
          <w:bCs w:val="0"/>
          <w:color w:val="auto"/>
          <w:spacing w:val="6"/>
          <w:sz w:val="32"/>
          <w:szCs w:val="32"/>
          <w:lang w:val="en-US" w:eastAsia="zh-CN"/>
        </w:rPr>
      </w:pPr>
      <w:r>
        <w:rPr>
          <w:rFonts w:hint="eastAsia" w:ascii="仿宋_GB2312" w:hAnsi="仿宋_GB2312" w:eastAsia="仿宋_GB2312" w:cs="仿宋_GB2312"/>
          <w:b w:val="0"/>
          <w:bCs w:val="0"/>
          <w:color w:val="auto"/>
          <w:spacing w:val="6"/>
          <w:sz w:val="32"/>
          <w:szCs w:val="32"/>
          <w:lang w:val="en-US" w:eastAsia="zh-CN"/>
        </w:rPr>
        <w:t>现将《宣恩县建设工程招投标评定分离定标工作指导规则（试行）》印发给你们，请认真遵照执行。</w:t>
      </w: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仿宋_GB2312" w:hAnsi="仿宋_GB2312" w:eastAsia="仿宋_GB2312" w:cs="仿宋_GB2312"/>
          <w:b w:val="0"/>
          <w:bCs w:val="0"/>
          <w:color w:val="auto"/>
          <w:spacing w:val="6"/>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spacing w:val="6"/>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70" w:lineRule="exact"/>
        <w:jc w:val="right"/>
        <w:textAlignment w:val="auto"/>
        <w:rPr>
          <w:rFonts w:hint="eastAsia" w:ascii="仿宋_GB2312" w:hAnsi="仿宋_GB2312" w:eastAsia="仿宋_GB2312" w:cs="仿宋_GB2312"/>
          <w:b w:val="0"/>
          <w:bCs w:val="0"/>
          <w:color w:val="auto"/>
          <w:spacing w:val="6"/>
          <w:sz w:val="32"/>
          <w:szCs w:val="32"/>
          <w:lang w:val="en-US" w:eastAsia="zh-CN"/>
        </w:rPr>
      </w:pPr>
      <w:r>
        <w:rPr>
          <w:rFonts w:hint="eastAsia" w:ascii="仿宋_GB2312" w:hAnsi="仿宋_GB2312" w:eastAsia="仿宋_GB2312" w:cs="仿宋_GB2312"/>
          <w:b w:val="0"/>
          <w:bCs w:val="0"/>
          <w:color w:val="auto"/>
          <w:spacing w:val="6"/>
          <w:sz w:val="32"/>
          <w:szCs w:val="32"/>
          <w:lang w:val="en-US" w:eastAsia="zh-CN"/>
        </w:rPr>
        <w:t>宣恩县公共资源交易管理委员会</w:t>
      </w:r>
    </w:p>
    <w:p>
      <w:pPr>
        <w:pStyle w:val="2"/>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b w:val="0"/>
          <w:bCs w:val="0"/>
          <w:color w:val="auto"/>
          <w:spacing w:val="6"/>
          <w:sz w:val="32"/>
          <w:szCs w:val="32"/>
          <w:lang w:val="en-US" w:eastAsia="zh-CN"/>
        </w:rPr>
        <w:t xml:space="preserve">                    2020年11月11日</w:t>
      </w:r>
    </w:p>
    <w:p>
      <w:pPr>
        <w:keepNext w:val="0"/>
        <w:keepLines w:val="0"/>
        <w:pageBreakBefore w:val="0"/>
        <w:widowControl w:val="0"/>
        <w:kinsoku/>
        <w:wordWrap/>
        <w:overflowPunct/>
        <w:topLinePunct w:val="0"/>
        <w:autoSpaceDE/>
        <w:autoSpaceDN/>
        <w:bidi w:val="0"/>
        <w:adjustRightInd/>
        <w:snapToGrid/>
        <w:spacing w:line="570" w:lineRule="exact"/>
        <w:ind w:right="0"/>
        <w:jc w:val="center"/>
        <w:textAlignment w:val="auto"/>
        <w:rPr>
          <w:rFonts w:hint="eastAsia" w:ascii="方正小标宋简体" w:hAnsi="方正小标宋简体" w:eastAsia="方正小标宋简体" w:cs="方正小标宋简体"/>
          <w:color w:val="auto"/>
          <w:spacing w:val="0"/>
          <w:sz w:val="44"/>
          <w:szCs w:val="44"/>
          <w:shd w:val="clear" w:color="auto" w:fill="auto"/>
          <w:lang w:eastAsia="zh-CN"/>
        </w:rPr>
      </w:pPr>
    </w:p>
    <w:p>
      <w:pPr>
        <w:pStyle w:val="2"/>
        <w:rPr>
          <w:rFonts w:hint="eastAsia" w:ascii="方正小标宋简体" w:hAnsi="方正小标宋简体" w:eastAsia="方正小标宋简体" w:cs="方正小标宋简体"/>
          <w:color w:val="auto"/>
          <w:spacing w:val="0"/>
          <w:sz w:val="44"/>
          <w:szCs w:val="44"/>
          <w:shd w:val="clear" w:color="auto" w:fill="auto"/>
          <w:lang w:eastAsia="zh-CN"/>
        </w:rPr>
      </w:pPr>
    </w:p>
    <w:p>
      <w:pPr>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70" w:lineRule="exact"/>
        <w:ind w:right="0"/>
        <w:jc w:val="center"/>
        <w:textAlignment w:val="auto"/>
        <w:rPr>
          <w:rFonts w:hint="eastAsia" w:ascii="方正小标宋简体" w:hAnsi="方正小标宋简体" w:eastAsia="方正小标宋简体" w:cs="方正小标宋简体"/>
          <w:color w:val="auto"/>
          <w:spacing w:val="0"/>
          <w:sz w:val="44"/>
          <w:szCs w:val="44"/>
          <w:shd w:val="clear" w:color="auto" w:fill="auto"/>
          <w:lang w:eastAsia="zh-CN"/>
        </w:rPr>
      </w:pPr>
    </w:p>
    <w:p>
      <w:pPr>
        <w:keepNext w:val="0"/>
        <w:keepLines w:val="0"/>
        <w:pageBreakBefore w:val="0"/>
        <w:widowControl w:val="0"/>
        <w:kinsoku/>
        <w:wordWrap/>
        <w:overflowPunct/>
        <w:topLinePunct w:val="0"/>
        <w:autoSpaceDE/>
        <w:autoSpaceDN/>
        <w:bidi w:val="0"/>
        <w:adjustRightInd/>
        <w:snapToGrid/>
        <w:spacing w:line="570" w:lineRule="exact"/>
        <w:ind w:right="0"/>
        <w:jc w:val="both"/>
        <w:textAlignment w:val="auto"/>
        <w:rPr>
          <w:rFonts w:hint="eastAsia" w:ascii="方正小标宋简体" w:hAnsi="方正小标宋简体" w:eastAsia="方正小标宋简体" w:cs="方正小标宋简体"/>
          <w:color w:val="auto"/>
          <w:spacing w:val="0"/>
          <w:sz w:val="44"/>
          <w:szCs w:val="44"/>
          <w:shd w:val="clear" w:color="auto" w:fill="auto"/>
          <w:lang w:eastAsia="zh-CN"/>
        </w:rPr>
      </w:pPr>
    </w:p>
    <w:p>
      <w:pPr>
        <w:keepNext w:val="0"/>
        <w:keepLines w:val="0"/>
        <w:pageBreakBefore w:val="0"/>
        <w:widowControl w:val="0"/>
        <w:kinsoku/>
        <w:wordWrap/>
        <w:overflowPunct/>
        <w:topLinePunct w:val="0"/>
        <w:autoSpaceDE/>
        <w:autoSpaceDN/>
        <w:bidi w:val="0"/>
        <w:adjustRightInd/>
        <w:snapToGrid/>
        <w:spacing w:line="570" w:lineRule="exact"/>
        <w:ind w:right="0"/>
        <w:jc w:val="center"/>
        <w:textAlignment w:val="auto"/>
        <w:rPr>
          <w:rFonts w:hint="eastAsia"/>
          <w:color w:val="auto"/>
          <w:spacing w:val="0"/>
          <w:sz w:val="44"/>
          <w:szCs w:val="44"/>
          <w:shd w:val="clear" w:color="auto" w:fill="auto"/>
          <w:lang w:val="en-US" w:eastAsia="zh-CN"/>
        </w:rPr>
      </w:pPr>
      <w:r>
        <w:rPr>
          <w:rFonts w:hint="eastAsia" w:ascii="方正小标宋简体" w:hAnsi="方正小标宋简体" w:eastAsia="方正小标宋简体" w:cs="方正小标宋简体"/>
          <w:color w:val="auto"/>
          <w:spacing w:val="0"/>
          <w:sz w:val="44"/>
          <w:szCs w:val="44"/>
          <w:shd w:val="clear" w:color="auto" w:fill="auto"/>
          <w:lang w:eastAsia="zh-CN"/>
        </w:rPr>
        <w:t>宣恩县建设工程招投标评定分离定标工作指导规则（试行）</w:t>
      </w:r>
    </w:p>
    <w:p>
      <w:pPr>
        <w:spacing w:line="580" w:lineRule="exact"/>
        <w:rPr>
          <w:rFonts w:hint="eastAsia" w:ascii="仿宋_GB2312" w:eastAsia="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仿宋_GB2312" w:eastAsia="仿宋_GB2312" w:cs="仿宋_GB2312"/>
          <w:color w:val="auto"/>
          <w:spacing w:val="0"/>
          <w:sz w:val="32"/>
          <w:szCs w:val="32"/>
          <w:shd w:val="clear" w:color="auto" w:fill="auto"/>
          <w:lang w:val="en-US" w:eastAsia="zh-CN"/>
        </w:rPr>
      </w:pPr>
      <w:r>
        <w:rPr>
          <w:rFonts w:hint="eastAsia" w:ascii="仿宋_GB2312" w:hAnsi="仿宋_GB2312" w:eastAsia="仿宋_GB2312" w:cs="仿宋_GB2312"/>
          <w:color w:val="auto"/>
          <w:spacing w:val="0"/>
          <w:sz w:val="32"/>
          <w:szCs w:val="32"/>
          <w:shd w:val="clear" w:color="auto" w:fill="auto"/>
          <w:lang w:eastAsia="zh-CN"/>
        </w:rPr>
        <w:t>根据</w:t>
      </w:r>
      <w:r>
        <w:rPr>
          <w:rFonts w:hint="eastAsia" w:ascii="仿宋_GB2312" w:hAnsi="仿宋_GB2312" w:eastAsia="仿宋_GB2312" w:cs="仿宋_GB2312"/>
          <w:color w:val="auto"/>
          <w:spacing w:val="0"/>
          <w:sz w:val="32"/>
          <w:szCs w:val="32"/>
          <w:shd w:val="clear" w:color="auto" w:fill="auto"/>
        </w:rPr>
        <w:t>《湖北省人民政府关于促进全省建筑业改革发展二十条意见》（鄂政发〔2018〕14号</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逐步实行</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评定分离</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制度</w:t>
      </w:r>
      <w:r>
        <w:rPr>
          <w:rFonts w:hint="eastAsia" w:ascii="仿宋_GB2312" w:hAnsi="仿宋_GB2312" w:eastAsia="仿宋_GB2312" w:cs="仿宋_GB2312"/>
          <w:color w:val="auto"/>
          <w:spacing w:val="0"/>
          <w:sz w:val="32"/>
          <w:szCs w:val="32"/>
          <w:shd w:val="clear" w:color="auto" w:fill="auto"/>
          <w:lang w:eastAsia="zh-CN"/>
        </w:rPr>
        <w:t>”</w:t>
      </w:r>
      <w:r>
        <w:rPr>
          <w:rFonts w:hint="eastAsia" w:ascii="仿宋_GB2312" w:hAnsi="仿宋_GB2312" w:eastAsia="仿宋_GB2312" w:cs="仿宋_GB2312"/>
          <w:color w:val="auto"/>
          <w:spacing w:val="0"/>
          <w:sz w:val="32"/>
          <w:szCs w:val="32"/>
          <w:shd w:val="clear" w:color="auto" w:fill="auto"/>
        </w:rPr>
        <w:t>，</w:t>
      </w:r>
      <w:r>
        <w:rPr>
          <w:rFonts w:hint="eastAsia" w:ascii="仿宋_GB2312" w:hAnsi="仿宋_GB2312" w:eastAsia="仿宋_GB2312" w:cs="仿宋_GB2312"/>
          <w:color w:val="auto"/>
          <w:spacing w:val="0"/>
          <w:sz w:val="32"/>
          <w:szCs w:val="32"/>
          <w:shd w:val="clear" w:color="auto" w:fill="auto"/>
          <w:lang w:eastAsia="zh-CN"/>
        </w:rPr>
        <w:t>结合我县实际，</w:t>
      </w:r>
      <w:r>
        <w:rPr>
          <w:rFonts w:hint="eastAsia" w:ascii="仿宋_GB2312" w:hAnsi="仿宋_GB2312" w:eastAsia="仿宋_GB2312" w:cs="仿宋_GB2312"/>
          <w:color w:val="auto"/>
          <w:spacing w:val="0"/>
          <w:sz w:val="32"/>
          <w:szCs w:val="32"/>
          <w:shd w:val="clear" w:color="auto" w:fill="auto"/>
        </w:rPr>
        <w:t>特制定本工作指导规则。</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一、总体原则</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为进一步深化工程建设项目招投标机制改革，规范招投标活动，创新招投标监督和管理模式，落实招标人责任制，将招投标程序中的“评标委员会评标”与“招标人定标”作为相对独立的两个环节进行分离，遵循权责统一、规则公开、竞争择优的原则，招标人在评标委员会评审和推荐的基础上，根据招标文件规定的程序和方法进行定标，确定中标人，实施“评标</w:t>
      </w:r>
      <w:r>
        <w:rPr>
          <w:rFonts w:hint="eastAsia" w:ascii="仿宋_GB2312" w:hAnsi="Times New Roman" w:eastAsia="仿宋_GB2312"/>
          <w:color w:val="auto"/>
          <w:spacing w:val="0"/>
          <w:sz w:val="32"/>
          <w:szCs w:val="32"/>
          <w:shd w:val="clear" w:color="auto" w:fill="auto"/>
          <w:lang w:eastAsia="zh-CN"/>
        </w:rPr>
        <w:t>”和“</w:t>
      </w:r>
      <w:r>
        <w:rPr>
          <w:rFonts w:hint="eastAsia" w:ascii="仿宋_GB2312" w:hAnsi="Times New Roman" w:eastAsia="仿宋_GB2312"/>
          <w:color w:val="auto"/>
          <w:spacing w:val="0"/>
          <w:sz w:val="32"/>
          <w:szCs w:val="32"/>
          <w:shd w:val="clear" w:color="auto" w:fill="auto"/>
        </w:rPr>
        <w:t>定标</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分离办法（不包括采用邀请方式招标的项目），评定分离办法应坚持“优中选低，低中选优”原则。“优中选低”是指重大项目、技术复杂项目在优质企业中选择一个投标报价相对较低的企业。“低中选优”是指一般项目在投标报价较低的投标人中选择一个相对优质的企业。</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二、适用范围</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仿宋_GB2312" w:eastAsia="仿宋_GB2312" w:cs="仿宋_GB2312"/>
          <w:color w:val="auto"/>
          <w:spacing w:val="0"/>
          <w:sz w:val="32"/>
          <w:szCs w:val="32"/>
          <w:shd w:val="clear" w:color="auto" w:fill="auto"/>
        </w:rPr>
      </w:pPr>
      <w:r>
        <w:rPr>
          <w:rFonts w:hint="eastAsia" w:ascii="仿宋_GB2312" w:hAnsi="仿宋_GB2312" w:eastAsia="仿宋_GB2312" w:cs="仿宋_GB2312"/>
          <w:color w:val="auto"/>
          <w:spacing w:val="0"/>
          <w:sz w:val="32"/>
          <w:szCs w:val="32"/>
          <w:shd w:val="clear" w:color="auto" w:fill="auto"/>
        </w:rPr>
        <w:t>本</w:t>
      </w:r>
      <w:r>
        <w:rPr>
          <w:rFonts w:hint="eastAsia" w:ascii="仿宋_GB2312" w:hAnsi="仿宋_GB2312" w:eastAsia="仿宋_GB2312" w:cs="仿宋_GB2312"/>
          <w:color w:val="auto"/>
          <w:spacing w:val="0"/>
          <w:sz w:val="32"/>
          <w:szCs w:val="32"/>
          <w:shd w:val="clear" w:color="auto" w:fill="auto"/>
          <w:lang w:eastAsia="zh-CN"/>
        </w:rPr>
        <w:t>试行</w:t>
      </w:r>
      <w:r>
        <w:rPr>
          <w:rFonts w:hint="eastAsia" w:ascii="仿宋_GB2312" w:hAnsi="仿宋_GB2312" w:eastAsia="仿宋_GB2312" w:cs="仿宋_GB2312"/>
          <w:color w:val="auto"/>
          <w:spacing w:val="0"/>
          <w:sz w:val="32"/>
          <w:szCs w:val="32"/>
          <w:shd w:val="clear" w:color="auto" w:fill="auto"/>
        </w:rPr>
        <w:t>规则适用范围为</w:t>
      </w:r>
      <w:r>
        <w:rPr>
          <w:rFonts w:hint="eastAsia" w:ascii="仿宋_GB2312" w:hAnsi="仿宋_GB2312" w:eastAsia="仿宋_GB2312" w:cs="仿宋_GB2312"/>
          <w:color w:val="auto"/>
          <w:spacing w:val="0"/>
          <w:sz w:val="32"/>
          <w:szCs w:val="32"/>
          <w:shd w:val="clear" w:color="auto" w:fill="auto"/>
          <w:lang w:eastAsia="zh-CN"/>
        </w:rPr>
        <w:t>本级房建市政项目中</w:t>
      </w:r>
      <w:r>
        <w:rPr>
          <w:rFonts w:hint="eastAsia" w:ascii="仿宋_GB2312" w:hAnsi="仿宋_GB2312" w:eastAsia="仿宋_GB2312" w:cs="仿宋_GB2312"/>
          <w:color w:val="auto"/>
          <w:spacing w:val="0"/>
          <w:sz w:val="32"/>
          <w:szCs w:val="32"/>
          <w:shd w:val="clear" w:color="auto" w:fill="auto"/>
          <w:lang w:val="en-US" w:eastAsia="zh-CN"/>
        </w:rPr>
        <w:t>1000万元以下的</w:t>
      </w:r>
      <w:r>
        <w:rPr>
          <w:rFonts w:hint="eastAsia" w:ascii="仿宋_GB2312" w:hAnsi="仿宋_GB2312" w:eastAsia="仿宋_GB2312" w:cs="仿宋_GB2312"/>
          <w:color w:val="auto"/>
          <w:spacing w:val="0"/>
          <w:sz w:val="32"/>
          <w:szCs w:val="32"/>
          <w:shd w:val="clear" w:color="auto" w:fill="auto"/>
          <w:lang w:eastAsia="zh-CN"/>
        </w:rPr>
        <w:t>项目进行评定分离试点，在总结试点经验的基础上视情况推行。</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三、推荐中标候选人</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lang w:eastAsia="zh-CN"/>
        </w:rPr>
        <w:t>评标委员会</w:t>
      </w:r>
      <w:r>
        <w:rPr>
          <w:rFonts w:hint="eastAsia" w:ascii="仿宋_GB2312" w:hAnsi="Times New Roman" w:eastAsia="仿宋_GB2312"/>
          <w:color w:val="auto"/>
          <w:spacing w:val="0"/>
          <w:sz w:val="32"/>
          <w:szCs w:val="32"/>
          <w:shd w:val="clear" w:color="auto" w:fill="auto"/>
        </w:rPr>
        <w:t>推荐3名中标候选人</w:t>
      </w:r>
      <w:r>
        <w:rPr>
          <w:rFonts w:hint="eastAsia" w:ascii="仿宋_GB2312" w:hAnsi="Times New Roman" w:eastAsia="仿宋_GB2312"/>
          <w:color w:val="auto"/>
          <w:spacing w:val="0"/>
          <w:sz w:val="32"/>
          <w:szCs w:val="32"/>
          <w:shd w:val="clear" w:color="auto" w:fill="auto"/>
          <w:lang w:eastAsia="zh-CN"/>
        </w:rPr>
        <w:t>并提供详实的优劣要素评标报告，</w:t>
      </w:r>
      <w:r>
        <w:rPr>
          <w:rFonts w:hint="eastAsia" w:ascii="仿宋_GB2312" w:hAnsi="Times New Roman" w:eastAsia="仿宋_GB2312"/>
          <w:color w:val="auto"/>
          <w:spacing w:val="0"/>
          <w:sz w:val="32"/>
          <w:szCs w:val="32"/>
          <w:shd w:val="clear" w:color="auto" w:fill="auto"/>
        </w:rPr>
        <w:t>推荐的中标候选人均不排序</w:t>
      </w:r>
      <w:r>
        <w:rPr>
          <w:rFonts w:hint="eastAsia" w:ascii="仿宋_GB2312" w:hAnsi="Times New Roman" w:eastAsia="仿宋_GB2312"/>
          <w:color w:val="auto"/>
          <w:spacing w:val="0"/>
          <w:sz w:val="32"/>
          <w:szCs w:val="32"/>
          <w:shd w:val="clear" w:color="auto" w:fill="auto"/>
          <w:lang w:eastAsia="zh-CN"/>
        </w:rPr>
        <w:t>，招标人必须在编制的</w:t>
      </w:r>
      <w:r>
        <w:rPr>
          <w:rFonts w:hint="eastAsia" w:ascii="仿宋_GB2312" w:hAnsi="Times New Roman" w:eastAsia="仿宋_GB2312"/>
          <w:color w:val="auto"/>
          <w:spacing w:val="0"/>
          <w:sz w:val="32"/>
          <w:szCs w:val="32"/>
          <w:shd w:val="clear" w:color="auto" w:fill="auto"/>
        </w:rPr>
        <w:t>招标文件中明确。</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四、定标前准备</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楷体_GB2312" w:hAnsi="楷体_GB2312" w:eastAsia="楷体_GB2312" w:cs="楷体_GB2312"/>
          <w:color w:val="auto"/>
          <w:spacing w:val="0"/>
          <w:sz w:val="32"/>
          <w:szCs w:val="32"/>
          <w:shd w:val="clear" w:color="auto" w:fill="auto"/>
        </w:rPr>
        <w:t>1.中标候选人公示</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中标候选人在</w:t>
      </w:r>
      <w:r>
        <w:rPr>
          <w:rFonts w:hint="eastAsia" w:ascii="仿宋_GB2312" w:hAnsi="Times New Roman" w:eastAsia="仿宋_GB2312"/>
          <w:color w:val="auto"/>
          <w:spacing w:val="0"/>
          <w:sz w:val="32"/>
          <w:szCs w:val="32"/>
          <w:shd w:val="clear" w:color="auto" w:fill="auto"/>
          <w:lang w:eastAsia="zh-CN"/>
        </w:rPr>
        <w:t>宣恩县</w:t>
      </w:r>
      <w:r>
        <w:rPr>
          <w:rFonts w:hint="eastAsia" w:ascii="仿宋_GB2312" w:hAnsi="Times New Roman" w:eastAsia="仿宋_GB2312"/>
          <w:color w:val="auto"/>
          <w:spacing w:val="0"/>
          <w:sz w:val="32"/>
          <w:szCs w:val="32"/>
          <w:shd w:val="clear" w:color="auto" w:fill="auto"/>
        </w:rPr>
        <w:t>公共资源交易网公示不少于3日。公示结束后，无质疑投诉的，将中标候选人推荐给招标人。</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公示期间，有中标候选人因质疑投诉并查实被取消中标资格时，若有效中标候选人少于3名的，</w:t>
      </w:r>
      <w:r>
        <w:rPr>
          <w:rFonts w:hint="eastAsia" w:ascii="仿宋_GB2312" w:hAnsi="Times New Roman" w:eastAsia="仿宋_GB2312"/>
          <w:color w:val="auto"/>
          <w:spacing w:val="0"/>
          <w:sz w:val="32"/>
          <w:szCs w:val="32"/>
          <w:shd w:val="clear" w:color="auto" w:fill="auto"/>
          <w:lang w:eastAsia="zh-CN"/>
        </w:rPr>
        <w:t>由评标委员会补促</w:t>
      </w:r>
      <w:r>
        <w:rPr>
          <w:rFonts w:hint="eastAsia" w:ascii="仿宋_GB2312" w:hAnsi="Times New Roman" w:eastAsia="仿宋_GB2312"/>
          <w:color w:val="auto"/>
          <w:spacing w:val="0"/>
          <w:sz w:val="32"/>
          <w:szCs w:val="32"/>
          <w:shd w:val="clear" w:color="auto" w:fill="auto"/>
        </w:rPr>
        <w:t>至3名。对于递补的中标候选人需在</w:t>
      </w:r>
      <w:r>
        <w:rPr>
          <w:rFonts w:hint="eastAsia" w:ascii="仿宋_GB2312" w:hAnsi="Times New Roman" w:eastAsia="仿宋_GB2312"/>
          <w:color w:val="auto"/>
          <w:spacing w:val="0"/>
          <w:sz w:val="32"/>
          <w:szCs w:val="32"/>
          <w:shd w:val="clear" w:color="auto" w:fill="auto"/>
          <w:lang w:eastAsia="zh-CN"/>
        </w:rPr>
        <w:t>宣恩县</w:t>
      </w:r>
      <w:r>
        <w:rPr>
          <w:rFonts w:hint="eastAsia" w:ascii="仿宋_GB2312" w:hAnsi="Times New Roman" w:eastAsia="仿宋_GB2312"/>
          <w:color w:val="auto"/>
          <w:spacing w:val="0"/>
          <w:sz w:val="32"/>
          <w:szCs w:val="32"/>
          <w:shd w:val="clear" w:color="auto" w:fill="auto"/>
        </w:rPr>
        <w:t>公共资源交易网公示不少于3日。</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楷体_GB2312" w:hAnsi="楷体_GB2312" w:eastAsia="楷体_GB2312" w:cs="楷体_GB2312"/>
          <w:color w:val="auto"/>
          <w:spacing w:val="0"/>
          <w:sz w:val="32"/>
          <w:szCs w:val="32"/>
          <w:shd w:val="clear" w:color="auto" w:fill="auto"/>
        </w:rPr>
        <w:t>2.定标前质询、考察</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招标人在定标会议召开前可以对中标候选人进行考察、质询，并出具考察报告作为定标辅助。考察报告中不得有明示或暗示中标单位的内容。</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是否需要对中标候选人进行考察、质询，由招标人根据实际情况确定，并应在招标文件中明确。如招标人组织考察的，应对所有中标候选人进行。</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五、组建定标委员会</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0"/>
          <w:szCs w:val="30"/>
          <w:shd w:val="clear" w:color="auto" w:fill="auto"/>
        </w:rPr>
      </w:pPr>
      <w:r>
        <w:rPr>
          <w:rFonts w:hint="eastAsia" w:ascii="楷体_GB2312" w:hAnsi="楷体_GB2312" w:eastAsia="楷体_GB2312" w:cs="楷体_GB2312"/>
          <w:color w:val="auto"/>
          <w:spacing w:val="0"/>
          <w:sz w:val="32"/>
          <w:szCs w:val="32"/>
          <w:shd w:val="clear" w:color="auto" w:fill="auto"/>
        </w:rPr>
        <w:t>1.组建定标人员库</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招标人应成立定标人员库，库中人员由招标人的领导班子成员、中层管理人员、工程技术（经济）人员组成。招标人根据自身情况也可以邀请非本单位人员参定标人员库组建，但招标人应对邀请的人员及其定标行为、定标结果承担责任。</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楷体_GB2312" w:hAnsi="楷体_GB2312" w:eastAsia="楷体_GB2312" w:cs="楷体_GB2312"/>
          <w:color w:val="auto"/>
          <w:spacing w:val="0"/>
          <w:sz w:val="32"/>
          <w:szCs w:val="32"/>
          <w:shd w:val="clear" w:color="auto" w:fill="auto"/>
        </w:rPr>
        <w:t>2.组建定标委员会</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定标委员会由招标人负责组建，成员数量为</w:t>
      </w:r>
      <w:r>
        <w:rPr>
          <w:rFonts w:hint="eastAsia" w:ascii="仿宋_GB2312" w:hAnsi="Times New Roman" w:eastAsia="仿宋_GB2312"/>
          <w:color w:val="auto"/>
          <w:spacing w:val="0"/>
          <w:sz w:val="32"/>
          <w:szCs w:val="32"/>
          <w:shd w:val="clear" w:color="auto" w:fill="auto"/>
          <w:lang w:val="en-US" w:eastAsia="zh-CN"/>
        </w:rPr>
        <w:t>5</w:t>
      </w:r>
      <w:r>
        <w:rPr>
          <w:rFonts w:hint="eastAsia" w:ascii="仿宋_GB2312" w:hAnsi="Times New Roman" w:eastAsia="仿宋_GB2312"/>
          <w:color w:val="auto"/>
          <w:spacing w:val="0"/>
          <w:sz w:val="32"/>
          <w:szCs w:val="32"/>
          <w:shd w:val="clear" w:color="auto" w:fill="auto"/>
        </w:rPr>
        <w:t>人及以上单数，最多不超过11人，组长由招标人的法定代表人或主要负责人或项目分管领导担任，其他成员原则上从定标人员库中按不少于2:1的比例</w:t>
      </w:r>
      <w:r>
        <w:rPr>
          <w:rFonts w:hint="eastAsia" w:ascii="仿宋_GB2312" w:hAnsi="Times New Roman" w:eastAsia="仿宋_GB2312"/>
          <w:color w:val="auto"/>
          <w:spacing w:val="0"/>
          <w:sz w:val="32"/>
          <w:szCs w:val="32"/>
          <w:shd w:val="clear" w:color="auto" w:fill="auto"/>
          <w:lang w:eastAsia="zh-CN"/>
        </w:rPr>
        <w:t>抽签</w:t>
      </w:r>
      <w:r>
        <w:rPr>
          <w:rFonts w:hint="eastAsia" w:ascii="仿宋_GB2312" w:hAnsi="Times New Roman" w:eastAsia="仿宋_GB2312"/>
          <w:color w:val="auto"/>
          <w:spacing w:val="0"/>
          <w:sz w:val="32"/>
          <w:szCs w:val="32"/>
          <w:shd w:val="clear" w:color="auto" w:fill="auto"/>
        </w:rPr>
        <w:t>产生。</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招标人确需外聘人员参与定标的，可以外聘人员，但应对外聘人员的定标行为负责。</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招标人可以指定定标委员会成员，招标人指定的成员（含组长、外聘人员）不得超过定标委员会成员总数的三分之一。</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定标委员会成员与中标候选人有利害关系的，应当回避。</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auto"/>
          <w:spacing w:val="0"/>
          <w:sz w:val="32"/>
          <w:szCs w:val="32"/>
          <w:shd w:val="clear" w:color="auto" w:fill="auto"/>
        </w:rPr>
        <w:t>定标委员会成员不得与任何中标候选人或者与招标结果有利害关系的人进行私下接触，不得收受中标候选人、中介人、其他利害关系人的财物或者其他好处，不得向招标人征询其确定中标人的意向。定标委员会成员应当客观、公正地履行职责，遵守职业道德，保守秘密，对所提出的定标意见承担个人责任。</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六、定标现场提问与面试</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仿宋_GB2312" w:hAnsi="Times New Roman" w:eastAsia="仿宋_GB2312"/>
          <w:color w:val="000000" w:themeColor="text1"/>
          <w:spacing w:val="0"/>
          <w:sz w:val="32"/>
          <w:szCs w:val="32"/>
          <w:shd w:val="clear" w:color="auto" w:fill="auto"/>
          <w14:textFill>
            <w14:solidFill>
              <w14:schemeClr w14:val="tx1"/>
            </w14:solidFill>
          </w14:textFill>
        </w:rPr>
        <w:t>定标活动</w:t>
      </w:r>
      <w:r>
        <w:rPr>
          <w:rFonts w:hint="eastAsia" w:ascii="仿宋_GB2312" w:hAnsi="Times New Roman" w:eastAsia="仿宋_GB2312"/>
          <w:color w:val="000000" w:themeColor="text1"/>
          <w:spacing w:val="0"/>
          <w:sz w:val="32"/>
          <w:szCs w:val="32"/>
          <w:shd w:val="clear" w:color="auto" w:fill="auto"/>
          <w:lang w:eastAsia="zh-CN"/>
          <w14:textFill>
            <w14:solidFill>
              <w14:schemeClr w14:val="tx1"/>
            </w14:solidFill>
          </w14:textFill>
        </w:rPr>
        <w:t>由招标人组织实施</w:t>
      </w:r>
      <w:r>
        <w:rPr>
          <w:rFonts w:hint="eastAsia" w:ascii="仿宋_GB2312" w:hAnsi="Times New Roman" w:eastAsia="仿宋_GB2312"/>
          <w:color w:val="000000" w:themeColor="text1"/>
          <w:spacing w:val="0"/>
          <w:sz w:val="32"/>
          <w:szCs w:val="32"/>
          <w:shd w:val="clear" w:color="auto" w:fill="auto"/>
          <w14:textFill>
            <w14:solidFill>
              <w14:schemeClr w14:val="tx1"/>
            </w14:solidFill>
          </w14:textFill>
        </w:rPr>
        <w:t>，</w:t>
      </w:r>
      <w:r>
        <w:rPr>
          <w:rFonts w:hint="eastAsia" w:ascii="仿宋_GB2312" w:hAnsi="Times New Roman" w:eastAsia="仿宋_GB2312"/>
          <w:color w:val="000000" w:themeColor="text1"/>
          <w:spacing w:val="0"/>
          <w:sz w:val="32"/>
          <w:szCs w:val="32"/>
          <w:shd w:val="clear" w:color="auto" w:fill="auto"/>
          <w:lang w:eastAsia="zh-CN"/>
          <w14:textFill>
            <w14:solidFill>
              <w14:schemeClr w14:val="tx1"/>
            </w14:solidFill>
          </w14:textFill>
        </w:rPr>
        <w:t>全过程</w:t>
      </w:r>
      <w:r>
        <w:rPr>
          <w:rFonts w:hint="eastAsia" w:ascii="仿宋_GB2312" w:hAnsi="Times New Roman" w:eastAsia="仿宋_GB2312"/>
          <w:color w:val="auto"/>
          <w:spacing w:val="0"/>
          <w:sz w:val="32"/>
          <w:szCs w:val="32"/>
          <w:shd w:val="clear" w:color="auto" w:fill="auto"/>
        </w:rPr>
        <w:t>应做好录音、录像工作，</w:t>
      </w:r>
      <w:r>
        <w:rPr>
          <w:rFonts w:hint="eastAsia" w:ascii="仿宋_GB2312" w:hAnsi="Times New Roman" w:eastAsia="仿宋_GB2312"/>
          <w:color w:val="000000" w:themeColor="text1"/>
          <w:spacing w:val="0"/>
          <w:sz w:val="32"/>
          <w:szCs w:val="32"/>
          <w:shd w:val="clear" w:color="auto" w:fill="auto"/>
          <w:lang w:eastAsia="zh-CN"/>
          <w14:textFill>
            <w14:solidFill>
              <w14:schemeClr w14:val="tx1"/>
            </w14:solidFill>
          </w14:textFill>
        </w:rPr>
        <w:t>定标场所由招标人确定，也可以在县公共资源交易中心进行。</w:t>
      </w:r>
      <w:r>
        <w:rPr>
          <w:rFonts w:hint="eastAsia" w:ascii="仿宋_GB2312" w:hAnsi="Times New Roman" w:eastAsia="仿宋_GB2312"/>
          <w:color w:val="auto"/>
          <w:spacing w:val="0"/>
          <w:sz w:val="32"/>
          <w:szCs w:val="32"/>
          <w:shd w:val="clear" w:color="auto" w:fill="auto"/>
        </w:rPr>
        <w:t>招标人代表在定标会议开始时可以向定标委员会介绍项目情况、招标情况、评标情况以及对中标候选人的考察、质询情况。定标委员会有疑问的，可以向招标人代表进行提问。招标人代表向定标委员会反馈的信息中不得有明示或暗示中标单位的内容。定标委员会的提问应在定标会现场提出，招标人代表应在定标会现场作出答复，由招标代理机构做好书面记录，并由提问和答复双方在书面记录上签字。提问和答复不得改变招标文件、投标文件和评标的实质性内容。</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七、择优要素</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lang w:eastAsia="zh-CN"/>
        </w:rPr>
      </w:pPr>
      <w:r>
        <w:rPr>
          <w:rFonts w:hint="eastAsia" w:ascii="仿宋_GB2312" w:hAnsi="Times New Roman" w:eastAsia="仿宋_GB2312"/>
          <w:color w:val="auto"/>
          <w:spacing w:val="0"/>
          <w:sz w:val="32"/>
          <w:szCs w:val="32"/>
          <w:shd w:val="clear" w:color="auto" w:fill="auto"/>
        </w:rPr>
        <w:t>定标委员会在择优时可参考以下要素进行：1.信用情况</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2.投标价格</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3.企业资质等级</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lang w:val="en-US" w:eastAsia="zh-CN"/>
        </w:rPr>
        <w:t>4</w:t>
      </w:r>
      <w:r>
        <w:rPr>
          <w:rFonts w:hint="eastAsia" w:ascii="仿宋_GB2312" w:hAnsi="Times New Roman" w:eastAsia="仿宋_GB2312"/>
          <w:color w:val="auto"/>
          <w:spacing w:val="0"/>
          <w:sz w:val="32"/>
          <w:szCs w:val="32"/>
          <w:shd w:val="clear" w:color="auto" w:fill="auto"/>
        </w:rPr>
        <w:t>.工程类似业绩</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5.企业所获荣誉</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6.有关服务等</w:t>
      </w:r>
      <w:r>
        <w:rPr>
          <w:rFonts w:hint="eastAsia" w:ascii="仿宋_GB2312" w:hAnsi="Times New Roman" w:eastAsia="仿宋_GB2312"/>
          <w:color w:val="auto"/>
          <w:spacing w:val="0"/>
          <w:sz w:val="32"/>
          <w:szCs w:val="32"/>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lang w:eastAsia="zh-CN"/>
        </w:rPr>
      </w:pPr>
      <w:r>
        <w:rPr>
          <w:rFonts w:hint="eastAsia" w:ascii="仿宋_GB2312" w:hAnsi="Times New Roman" w:eastAsia="仿宋_GB2312"/>
          <w:color w:val="auto"/>
          <w:spacing w:val="0"/>
          <w:sz w:val="32"/>
          <w:szCs w:val="32"/>
          <w:shd w:val="clear" w:color="auto" w:fill="auto"/>
        </w:rPr>
        <w:t>定标委员会在“择优”的同时也可进行“比劣”，“比劣”可参考以下要素进行：1.有无串通投标，围标，以行贿等不正当手段谋取中标行为</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2.有无挂靠，以他人名义投标，出让或者出租资格、资质证书供他人投标行为</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3.投标人或其法定代表人、企业负责人、拟派项目负责人有无行贿犯罪记录</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lang w:val="en-US" w:eastAsia="zh-CN"/>
        </w:rPr>
        <w:t>4</w:t>
      </w:r>
      <w:r>
        <w:rPr>
          <w:rFonts w:hint="eastAsia" w:ascii="仿宋_GB2312" w:hAnsi="Times New Roman" w:eastAsia="仿宋_GB2312"/>
          <w:color w:val="auto"/>
          <w:spacing w:val="0"/>
          <w:sz w:val="32"/>
          <w:szCs w:val="32"/>
          <w:shd w:val="clear" w:color="auto" w:fill="auto"/>
        </w:rPr>
        <w:t>.投标人在</w:t>
      </w:r>
      <w:r>
        <w:rPr>
          <w:rFonts w:hint="eastAsia" w:ascii="仿宋_GB2312" w:hAnsi="Times New Roman" w:eastAsia="仿宋_GB2312"/>
          <w:color w:val="auto"/>
          <w:spacing w:val="0"/>
          <w:sz w:val="32"/>
          <w:szCs w:val="32"/>
          <w:shd w:val="clear" w:color="auto" w:fill="auto"/>
          <w:lang w:eastAsia="zh-CN"/>
        </w:rPr>
        <w:t>近三年的项目建设中</w:t>
      </w:r>
      <w:r>
        <w:rPr>
          <w:rFonts w:hint="eastAsia" w:ascii="仿宋_GB2312" w:hAnsi="Times New Roman" w:eastAsia="仿宋_GB2312"/>
          <w:color w:val="auto"/>
          <w:spacing w:val="0"/>
          <w:sz w:val="32"/>
          <w:szCs w:val="32"/>
          <w:shd w:val="clear" w:color="auto" w:fill="auto"/>
        </w:rPr>
        <w:t>有无严重违约或重大工程质量、安全问题</w:t>
      </w:r>
      <w:r>
        <w:rPr>
          <w:rFonts w:hint="eastAsia" w:ascii="仿宋_GB2312" w:hAnsi="Times New Roman" w:eastAsia="仿宋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5.招标人认定的其他不良行为</w:t>
      </w:r>
      <w:r>
        <w:rPr>
          <w:rFonts w:hint="eastAsia" w:ascii="仿宋_GB2312" w:hAnsi="Times New Roman" w:eastAsia="仿宋_GB2312"/>
          <w:color w:val="auto"/>
          <w:spacing w:val="0"/>
          <w:sz w:val="32"/>
          <w:szCs w:val="32"/>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八、定标办法</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仿宋_GB2312" w:hAnsi="Times New Roman" w:eastAsia="仿宋_GB2312"/>
          <w:color w:val="auto"/>
          <w:spacing w:val="0"/>
          <w:sz w:val="32"/>
          <w:szCs w:val="32"/>
          <w:shd w:val="clear" w:color="auto" w:fill="auto"/>
          <w:lang w:eastAsia="zh-CN"/>
        </w:rPr>
      </w:pPr>
      <w:r>
        <w:rPr>
          <w:rFonts w:hint="eastAsia" w:ascii="仿宋_GB2312" w:hAnsi="Times New Roman" w:eastAsia="仿宋_GB2312"/>
          <w:color w:val="auto"/>
          <w:spacing w:val="0"/>
          <w:sz w:val="32"/>
          <w:szCs w:val="32"/>
          <w:shd w:val="clear" w:color="auto" w:fill="auto"/>
        </w:rPr>
        <w:t>定标委员会成员</w:t>
      </w:r>
      <w:r>
        <w:rPr>
          <w:rFonts w:hint="eastAsia" w:ascii="仿宋_GB2312" w:hAnsi="Times New Roman" w:eastAsia="仿宋_GB2312"/>
          <w:color w:val="auto"/>
          <w:spacing w:val="0"/>
          <w:sz w:val="32"/>
          <w:szCs w:val="32"/>
          <w:shd w:val="clear" w:color="auto" w:fill="auto"/>
          <w:lang w:eastAsia="zh-CN"/>
        </w:rPr>
        <w:t>应集体决策</w:t>
      </w:r>
      <w:r>
        <w:rPr>
          <w:rFonts w:hint="eastAsia" w:ascii="仿宋_GB2312" w:hAnsi="Times New Roman" w:eastAsia="仿宋_GB2312"/>
          <w:color w:val="auto"/>
          <w:spacing w:val="0"/>
          <w:sz w:val="32"/>
          <w:szCs w:val="32"/>
          <w:shd w:val="clear" w:color="auto" w:fill="auto"/>
        </w:rPr>
        <w:t>，按“竞争和择优”以及“优中选低、低中选优”原则确定中标人</w:t>
      </w:r>
      <w:r>
        <w:rPr>
          <w:rFonts w:hint="eastAsia" w:ascii="仿宋_GB2312" w:hAnsi="Times New Roman" w:eastAsia="仿宋_GB2312"/>
          <w:color w:val="auto"/>
          <w:spacing w:val="0"/>
          <w:sz w:val="32"/>
          <w:szCs w:val="32"/>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九、定标结果公示与备案</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592" w:firstLineChars="200"/>
        <w:textAlignment w:val="auto"/>
        <w:outlineLvl w:val="9"/>
        <w:rPr>
          <w:rFonts w:hint="eastAsia" w:ascii="仿宋_GB2312" w:hAnsi="Times New Roman" w:eastAsia="仿宋_GB2312"/>
          <w:color w:val="auto"/>
          <w:spacing w:val="0"/>
          <w:sz w:val="30"/>
          <w:szCs w:val="30"/>
          <w:shd w:val="clear" w:color="auto" w:fill="auto"/>
        </w:rPr>
      </w:pPr>
      <w:r>
        <w:rPr>
          <w:rFonts w:hint="eastAsia" w:ascii="仿宋_GB2312" w:hAnsi="Times New Roman" w:eastAsia="仿宋_GB2312"/>
          <w:color w:val="auto"/>
          <w:spacing w:val="0"/>
          <w:sz w:val="30"/>
          <w:szCs w:val="30"/>
          <w:shd w:val="clear" w:color="auto" w:fill="auto"/>
        </w:rPr>
        <w:t>定标结束后，招标人应当及时将定标结果在</w:t>
      </w:r>
      <w:r>
        <w:rPr>
          <w:rFonts w:hint="eastAsia" w:ascii="仿宋_GB2312" w:hAnsi="Times New Roman" w:eastAsia="仿宋_GB2312"/>
          <w:color w:val="auto"/>
          <w:spacing w:val="0"/>
          <w:sz w:val="30"/>
          <w:szCs w:val="30"/>
          <w:shd w:val="clear" w:color="auto" w:fill="auto"/>
          <w:lang w:eastAsia="zh-CN"/>
        </w:rPr>
        <w:t>宣恩县</w:t>
      </w:r>
      <w:r>
        <w:rPr>
          <w:rFonts w:hint="eastAsia" w:ascii="仿宋_GB2312" w:hAnsi="Times New Roman" w:eastAsia="仿宋_GB2312"/>
          <w:color w:val="auto"/>
          <w:spacing w:val="0"/>
          <w:sz w:val="30"/>
          <w:szCs w:val="30"/>
          <w:shd w:val="clear" w:color="auto" w:fill="auto"/>
        </w:rPr>
        <w:t>公共资源交易网公示不少于3日。</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592" w:firstLineChars="200"/>
        <w:textAlignment w:val="auto"/>
        <w:outlineLvl w:val="9"/>
        <w:rPr>
          <w:rFonts w:hint="eastAsia" w:ascii="仿宋_GB2312" w:hAnsi="Times New Roman" w:eastAsia="仿宋_GB2312"/>
          <w:color w:val="auto"/>
          <w:spacing w:val="0"/>
          <w:sz w:val="30"/>
          <w:szCs w:val="30"/>
          <w:shd w:val="clear" w:color="auto" w:fill="auto"/>
        </w:rPr>
      </w:pPr>
      <w:r>
        <w:rPr>
          <w:rFonts w:hint="eastAsia" w:ascii="仿宋_GB2312" w:hAnsi="Times New Roman" w:eastAsia="仿宋_GB2312"/>
          <w:color w:val="auto"/>
          <w:spacing w:val="0"/>
          <w:sz w:val="30"/>
          <w:szCs w:val="30"/>
          <w:shd w:val="clear" w:color="auto" w:fill="auto"/>
        </w:rPr>
        <w:t>招标人在定标会议召开后5个工作日内，应当将定标情况报行业监管部门备案。招标人应对定标过程进行记录并存档备查。</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outlineLvl w:val="9"/>
        <w:rPr>
          <w:rFonts w:hint="eastAsia" w:ascii="黑体" w:hAnsi="黑体" w:eastAsia="黑体" w:cs="黑体"/>
          <w:color w:val="auto"/>
          <w:spacing w:val="0"/>
          <w:sz w:val="32"/>
          <w:szCs w:val="32"/>
          <w:shd w:val="clear" w:color="auto" w:fill="auto"/>
        </w:rPr>
      </w:pPr>
      <w:r>
        <w:rPr>
          <w:rFonts w:hint="eastAsia" w:ascii="黑体" w:hAnsi="黑体" w:eastAsia="黑体" w:cs="黑体"/>
          <w:color w:val="auto"/>
          <w:spacing w:val="0"/>
          <w:sz w:val="32"/>
          <w:szCs w:val="32"/>
          <w:shd w:val="clear" w:color="auto" w:fill="auto"/>
        </w:rPr>
        <w:t>十、监督与管理</w:t>
      </w:r>
    </w:p>
    <w:p>
      <w:pPr>
        <w:keepNext w:val="0"/>
        <w:keepLines w:val="0"/>
        <w:pageBreakBefore w:val="0"/>
        <w:widowControl w:val="0"/>
        <w:kinsoku/>
        <w:wordWrap/>
        <w:overflowPunct/>
        <w:topLinePunct w:val="0"/>
        <w:autoSpaceDE/>
        <w:autoSpaceDN/>
        <w:bidi w:val="0"/>
        <w:adjustRightInd/>
        <w:snapToGrid/>
        <w:spacing w:line="570" w:lineRule="exact"/>
        <w:ind w:right="0" w:firstLine="632" w:firstLineChars="200"/>
        <w:textAlignment w:val="auto"/>
        <w:outlineLvl w:val="9"/>
        <w:rPr>
          <w:rFonts w:hint="eastAsia" w:ascii="仿宋_GB2312" w:hAnsi="Times New Roman" w:eastAsia="仿宋_GB2312"/>
          <w:color w:val="auto"/>
          <w:spacing w:val="0"/>
          <w:sz w:val="32"/>
          <w:szCs w:val="32"/>
          <w:shd w:val="clear" w:color="auto" w:fill="auto"/>
        </w:rPr>
      </w:pPr>
      <w:r>
        <w:rPr>
          <w:rFonts w:hint="eastAsia" w:ascii="楷体_GB2312" w:hAnsi="楷体_GB2312" w:eastAsia="楷体_GB2312" w:cs="楷体_GB2312"/>
          <w:color w:val="auto"/>
          <w:spacing w:val="0"/>
          <w:sz w:val="32"/>
          <w:szCs w:val="32"/>
          <w:shd w:val="clear" w:color="auto" w:fill="auto"/>
        </w:rPr>
        <w:t>1.强化招标人责任</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招标人要强化责任意识、法治意识，对整个招标和定标过程负责。招标人要建立完善的定标机制和内部制度，不得明示或暗示定标委员会成员指定中标人，定标委员会要认真履行定标职责，严格按照招标文件规定的定标办法和程序定标，并对定标结果负责。</w:t>
      </w:r>
    </w:p>
    <w:p>
      <w:pPr>
        <w:keepNext w:val="0"/>
        <w:keepLines w:val="0"/>
        <w:pageBreakBefore w:val="0"/>
        <w:widowControl w:val="0"/>
        <w:kinsoku/>
        <w:wordWrap/>
        <w:overflowPunct/>
        <w:topLinePunct w:val="0"/>
        <w:autoSpaceDE/>
        <w:autoSpaceDN/>
        <w:bidi w:val="0"/>
        <w:adjustRightInd/>
        <w:snapToGrid/>
        <w:spacing w:line="570" w:lineRule="exact"/>
        <w:ind w:right="0" w:firstLine="632" w:firstLineChars="200"/>
        <w:textAlignment w:val="auto"/>
        <w:outlineLvl w:val="9"/>
        <w:rPr>
          <w:color w:val="auto"/>
          <w:spacing w:val="0"/>
          <w:shd w:val="clear" w:color="auto" w:fill="auto"/>
        </w:rPr>
      </w:pPr>
      <w:r>
        <w:rPr>
          <w:rFonts w:hint="eastAsia" w:ascii="楷体_GB2312" w:hAnsi="楷体_GB2312" w:eastAsia="楷体_GB2312" w:cs="楷体_GB2312"/>
          <w:color w:val="auto"/>
          <w:spacing w:val="0"/>
          <w:sz w:val="32"/>
          <w:szCs w:val="32"/>
          <w:shd w:val="clear" w:color="auto" w:fill="auto"/>
        </w:rPr>
        <w:t>2.加强评定分离监管</w:t>
      </w:r>
      <w:r>
        <w:rPr>
          <w:rFonts w:hint="eastAsia" w:ascii="楷体_GB2312" w:hAnsi="楷体_GB2312" w:eastAsia="楷体_GB2312" w:cs="楷体_GB2312"/>
          <w:color w:val="auto"/>
          <w:spacing w:val="0"/>
          <w:sz w:val="32"/>
          <w:szCs w:val="32"/>
          <w:shd w:val="clear" w:color="auto" w:fill="auto"/>
          <w:lang w:eastAsia="zh-CN"/>
        </w:rPr>
        <w:t>。</w:t>
      </w:r>
      <w:r>
        <w:rPr>
          <w:rFonts w:hint="eastAsia" w:ascii="仿宋_GB2312" w:hAnsi="Times New Roman" w:eastAsia="仿宋_GB2312"/>
          <w:color w:val="auto"/>
          <w:spacing w:val="0"/>
          <w:sz w:val="32"/>
          <w:szCs w:val="32"/>
          <w:shd w:val="clear" w:color="auto" w:fill="auto"/>
        </w:rPr>
        <w:t>一是招标人的纪检</w:t>
      </w:r>
      <w:r>
        <w:rPr>
          <w:rFonts w:hint="eastAsia" w:ascii="仿宋_GB2312" w:hAnsi="Times New Roman" w:eastAsia="仿宋_GB2312"/>
          <w:color w:val="auto"/>
          <w:spacing w:val="0"/>
          <w:sz w:val="32"/>
          <w:szCs w:val="32"/>
          <w:shd w:val="clear" w:color="auto" w:fill="auto"/>
          <w:lang w:eastAsia="zh-CN"/>
        </w:rPr>
        <w:t>监察组</w:t>
      </w:r>
      <w:r>
        <w:rPr>
          <w:rFonts w:hint="eastAsia" w:ascii="仿宋_GB2312" w:hAnsi="Times New Roman" w:eastAsia="仿宋_GB2312"/>
          <w:color w:val="auto"/>
          <w:spacing w:val="0"/>
          <w:sz w:val="32"/>
          <w:szCs w:val="32"/>
          <w:shd w:val="clear" w:color="auto" w:fill="auto"/>
        </w:rPr>
        <w:t>要加强对定标人员库组建、定标人员抽取、定标会议召开等定标全过程进行监督。二是招标人的法定代表人或主要负责人或纪检监</w:t>
      </w:r>
      <w:r>
        <w:rPr>
          <w:rFonts w:hint="eastAsia" w:ascii="仿宋_GB2312" w:hAnsi="Times New Roman" w:eastAsia="仿宋_GB2312"/>
          <w:color w:val="auto"/>
          <w:spacing w:val="0"/>
          <w:sz w:val="32"/>
          <w:szCs w:val="32"/>
          <w:shd w:val="clear" w:color="auto" w:fill="auto"/>
          <w:lang w:eastAsia="zh-CN"/>
        </w:rPr>
        <w:t>监察组</w:t>
      </w:r>
      <w:r>
        <w:rPr>
          <w:rFonts w:hint="eastAsia" w:ascii="仿宋_GB2312" w:hAnsi="Times New Roman" w:eastAsia="仿宋_GB2312"/>
          <w:color w:val="auto"/>
          <w:spacing w:val="0"/>
          <w:sz w:val="32"/>
          <w:szCs w:val="32"/>
          <w:shd w:val="clear" w:color="auto" w:fill="auto"/>
        </w:rPr>
        <w:t>要对定标委员会成员</w:t>
      </w:r>
      <w:r>
        <w:rPr>
          <w:rFonts w:hint="eastAsia" w:ascii="仿宋_GB2312" w:hAnsi="Times New Roman" w:eastAsia="仿宋_GB2312"/>
          <w:color w:val="auto"/>
          <w:spacing w:val="0"/>
          <w:sz w:val="32"/>
          <w:szCs w:val="32"/>
          <w:shd w:val="clear" w:color="auto" w:fill="auto"/>
          <w:lang w:eastAsia="zh-CN"/>
        </w:rPr>
        <w:t>定标结果进行监督</w:t>
      </w:r>
      <w:r>
        <w:rPr>
          <w:rFonts w:hint="eastAsia" w:ascii="仿宋_GB2312" w:hAnsi="Times New Roman" w:eastAsia="仿宋_GB2312"/>
          <w:color w:val="auto"/>
          <w:spacing w:val="0"/>
          <w:sz w:val="32"/>
          <w:szCs w:val="32"/>
          <w:shd w:val="clear" w:color="auto" w:fill="auto"/>
        </w:rPr>
        <w:t>，发现异常情况及时对该定标委员会成员进行约谈，涉嫌廉政问题的，要及时向行政监察机关移交。招标单位要建立评价机制，形成年度评价分析报告存档。</w:t>
      </w: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632" w:firstLineChars="200"/>
        <w:textAlignment w:val="auto"/>
        <w:rPr>
          <w:rFonts w:hint="eastAsia" w:ascii="仿宋_GB2312" w:hAnsi="仿宋_GB2312" w:eastAsia="仿宋_GB2312" w:cs="仿宋_GB2312"/>
          <w:color w:val="auto"/>
          <w:spacing w:val="0"/>
          <w:sz w:val="32"/>
          <w:szCs w:val="32"/>
          <w:shd w:val="clear" w:color="auto" w:fill="auto"/>
          <w:lang w:eastAsia="zh-CN"/>
        </w:rPr>
      </w:pPr>
    </w:p>
    <w:p>
      <w:pPr>
        <w:pStyle w:val="13"/>
        <w:keepNext w:val="0"/>
        <w:keepLines w:val="0"/>
        <w:pageBreakBefore w:val="0"/>
        <w:kinsoku/>
        <w:wordWrap/>
        <w:overflowPunct/>
        <w:topLinePunct w:val="0"/>
        <w:autoSpaceDE/>
        <w:autoSpaceDN/>
        <w:bidi w:val="0"/>
        <w:adjustRightInd/>
        <w:spacing w:line="570" w:lineRule="exact"/>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3792" w:firstLineChars="1200"/>
        <w:textAlignment w:val="auto"/>
      </w:pPr>
    </w:p>
    <w:sectPr>
      <w:footerReference r:id="rId3" w:type="default"/>
      <w:footerReference r:id="rId4" w:type="even"/>
      <w:pgSz w:w="11906" w:h="16838"/>
      <w:pgMar w:top="2098" w:right="1474" w:bottom="1984" w:left="1587" w:header="851" w:footer="992"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2"/>
                              <w:rFonts w:hint="eastAsia"/>
                              <w:sz w:val="28"/>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p>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Style w:val="12"/>
                        <w:rFonts w:hint="eastAsia"/>
                        <w:sz w:val="28"/>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p>
                    <w:pPr>
                      <w:rPr>
                        <w:rFonts w:hint="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仿宋"/>
                              <w:sz w:val="28"/>
                              <w:szCs w:val="28"/>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6"/>
                      <w:rPr>
                        <w:rFonts w:hint="eastAsia" w:eastAsia="仿宋"/>
                        <w:sz w:val="28"/>
                        <w:szCs w:val="28"/>
                        <w:lang w:val="en-US"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2"/>
                              <w:rFonts w:hint="eastAsia"/>
                              <w:sz w:val="28"/>
                              <w:lang w:eastAsia="zh-CN"/>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6"/>
                      <w:rPr>
                        <w:rStyle w:val="12"/>
                        <w:rFonts w:hint="eastAsia"/>
                        <w:sz w:val="28"/>
                        <w:lang w:eastAsia="zh-CN"/>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evenAndOddHeaders w:val="1"/>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F277B"/>
    <w:rsid w:val="07156790"/>
    <w:rsid w:val="09A74913"/>
    <w:rsid w:val="0A8E5840"/>
    <w:rsid w:val="0CE2321D"/>
    <w:rsid w:val="0D844C04"/>
    <w:rsid w:val="0E11739B"/>
    <w:rsid w:val="0FC43032"/>
    <w:rsid w:val="10374155"/>
    <w:rsid w:val="241604B7"/>
    <w:rsid w:val="25325F2C"/>
    <w:rsid w:val="29EC78E7"/>
    <w:rsid w:val="321C4DAA"/>
    <w:rsid w:val="32EF3086"/>
    <w:rsid w:val="3446688D"/>
    <w:rsid w:val="3A11519E"/>
    <w:rsid w:val="3A5A516B"/>
    <w:rsid w:val="3BA2504F"/>
    <w:rsid w:val="3E3C6D06"/>
    <w:rsid w:val="465D4FC6"/>
    <w:rsid w:val="4955024A"/>
    <w:rsid w:val="4BAA1F46"/>
    <w:rsid w:val="4C2805CC"/>
    <w:rsid w:val="4C984F65"/>
    <w:rsid w:val="4CA44362"/>
    <w:rsid w:val="505F44A4"/>
    <w:rsid w:val="51A92616"/>
    <w:rsid w:val="53DC67A6"/>
    <w:rsid w:val="55CC272E"/>
    <w:rsid w:val="565B66A3"/>
    <w:rsid w:val="5CAB7D97"/>
    <w:rsid w:val="5D201A65"/>
    <w:rsid w:val="5D8C62F8"/>
    <w:rsid w:val="61C746C8"/>
    <w:rsid w:val="63DF277B"/>
    <w:rsid w:val="6D535020"/>
    <w:rsid w:val="6EB33813"/>
    <w:rsid w:val="750A56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 w:asciiTheme="minorHAnsi" w:hAnsiTheme="minorHAnsi" w:cstheme="minorBidi"/>
      <w:kern w:val="2"/>
      <w:sz w:val="32"/>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5">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2"/>
    <w:qFormat/>
    <w:uiPriority w:val="0"/>
    <w:pPr>
      <w:ind w:left="420" w:leftChars="200"/>
    </w:pPr>
    <w:rPr>
      <w:rFonts w:hint="eastAsi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paragraph" w:customStyle="1" w:styleId="13">
    <w:name w:val="Body Text First Indent 21"/>
    <w:basedOn w:val="14"/>
    <w:next w:val="1"/>
    <w:qFormat/>
    <w:uiPriority w:val="99"/>
    <w:pPr>
      <w:ind w:firstLine="420" w:firstLineChars="200"/>
    </w:pPr>
  </w:style>
  <w:style w:type="paragraph" w:customStyle="1" w:styleId="14">
    <w:name w:val="Body Text Indent1"/>
    <w:basedOn w:val="1"/>
    <w:next w:val="1"/>
    <w:qFormat/>
    <w:uiPriority w:val="99"/>
    <w:pPr>
      <w:ind w:left="420" w:leftChars="200"/>
    </w:pPr>
    <w:rPr>
      <w:rFonts w:ascii="Times New Roman"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5</Pages>
  <Words>2235</Words>
  <Characters>2269</Characters>
  <Lines>0</Lines>
  <Paragraphs>0</Paragraphs>
  <TotalTime>1</TotalTime>
  <ScaleCrop>false</ScaleCrop>
  <LinksUpToDate>false</LinksUpToDate>
  <CharactersWithSpaces>2269</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2019-05-05T07:28:00Z</dcterms:created>
  <dc:creator>Administrator</dc:creator>
  <cp:lastModifiedBy>Administrator</cp:lastModifiedBy>
  <cp:lastPrinted>2020-05-15T08:49:00Z</cp:lastPrinted>
  <dcterms:modified xsi:type="dcterms:W3CDTF">2020-11-13T02:45:34Z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