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3C7" w:rsidRPr="004423C7" w:rsidRDefault="004423C7" w:rsidP="004423C7">
      <w:pPr>
        <w:widowControl/>
        <w:shd w:val="clear" w:color="auto" w:fill="FFFFFF"/>
        <w:spacing w:before="300" w:after="300"/>
        <w:jc w:val="center"/>
        <w:outlineLvl w:val="0"/>
        <w:rPr>
          <w:rFonts w:ascii="微软雅黑" w:eastAsia="微软雅黑" w:hAnsi="微软雅黑" w:cs="宋体"/>
          <w:b/>
          <w:bCs/>
          <w:color w:val="333333"/>
          <w:kern w:val="36"/>
          <w:sz w:val="42"/>
          <w:szCs w:val="42"/>
        </w:rPr>
      </w:pPr>
      <w:r w:rsidRPr="004423C7">
        <w:rPr>
          <w:rFonts w:ascii="微软雅黑" w:eastAsia="微软雅黑" w:hAnsi="微软雅黑" w:cs="宋体" w:hint="eastAsia"/>
          <w:b/>
          <w:bCs/>
          <w:color w:val="333333"/>
          <w:kern w:val="36"/>
          <w:sz w:val="42"/>
          <w:szCs w:val="42"/>
        </w:rPr>
        <w:t>关于完善房屋建筑和市政基础设施工程监理招标投标监管的通知</w:t>
      </w:r>
    </w:p>
    <w:p w:rsidR="004423C7" w:rsidRPr="004423C7" w:rsidRDefault="004423C7" w:rsidP="004423C7">
      <w:pPr>
        <w:widowControl/>
        <w:shd w:val="clear" w:color="auto" w:fill="FFFFFF"/>
        <w:spacing w:before="300" w:line="420" w:lineRule="atLeast"/>
        <w:jc w:val="center"/>
        <w:rPr>
          <w:rFonts w:ascii="微软雅黑" w:eastAsia="微软雅黑" w:hAnsi="微软雅黑" w:cs="宋体" w:hint="eastAsia"/>
          <w:color w:val="454545"/>
          <w:kern w:val="0"/>
          <w:sz w:val="24"/>
          <w:szCs w:val="24"/>
        </w:rPr>
      </w:pPr>
      <w:proofErr w:type="gramStart"/>
      <w:r w:rsidRPr="004423C7">
        <w:rPr>
          <w:rFonts w:ascii="微软雅黑" w:eastAsia="微软雅黑" w:hAnsi="微软雅黑" w:cs="宋体" w:hint="eastAsia"/>
          <w:color w:val="454545"/>
          <w:kern w:val="0"/>
          <w:sz w:val="24"/>
          <w:szCs w:val="24"/>
        </w:rPr>
        <w:t>宜市住</w:t>
      </w:r>
      <w:proofErr w:type="gramEnd"/>
      <w:r w:rsidRPr="004423C7">
        <w:rPr>
          <w:rFonts w:ascii="微软雅黑" w:eastAsia="微软雅黑" w:hAnsi="微软雅黑" w:cs="宋体" w:hint="eastAsia"/>
          <w:color w:val="454545"/>
          <w:kern w:val="0"/>
          <w:sz w:val="24"/>
          <w:szCs w:val="24"/>
        </w:rPr>
        <w:t>建文〔2022〕7号</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各县市区住建局、高</w:t>
      </w:r>
      <w:proofErr w:type="gramStart"/>
      <w:r w:rsidRPr="004423C7">
        <w:rPr>
          <w:rFonts w:ascii="微软雅黑" w:eastAsia="微软雅黑" w:hAnsi="微软雅黑" w:cs="宋体" w:hint="eastAsia"/>
          <w:color w:val="454545"/>
          <w:kern w:val="0"/>
          <w:sz w:val="24"/>
          <w:szCs w:val="24"/>
        </w:rPr>
        <w:t>新区建</w:t>
      </w:r>
      <w:proofErr w:type="gramEnd"/>
      <w:r w:rsidRPr="004423C7">
        <w:rPr>
          <w:rFonts w:ascii="微软雅黑" w:eastAsia="微软雅黑" w:hAnsi="微软雅黑" w:cs="宋体" w:hint="eastAsia"/>
          <w:color w:val="454545"/>
          <w:kern w:val="0"/>
          <w:sz w:val="24"/>
          <w:szCs w:val="24"/>
        </w:rPr>
        <w:t>管办，各有关单位：</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为规范我市房屋建筑和市政基础设施工程监理招标投标行为，完善招标投标监管机制，构建公平有序的招标投标市场环境，根据《市人民政府办公室关于进一步支持建筑业平稳健康发展的通知》文件要求，现就完善我市房屋建筑和市政基础设施工程监理招标投标监管有关事项通知如下。</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w:t>
      </w:r>
      <w:r w:rsidRPr="004423C7">
        <w:rPr>
          <w:rFonts w:ascii="微软雅黑" w:eastAsia="微软雅黑" w:hAnsi="微软雅黑" w:cs="宋体" w:hint="eastAsia"/>
          <w:b/>
          <w:bCs/>
          <w:color w:val="454545"/>
          <w:kern w:val="0"/>
          <w:sz w:val="24"/>
          <w:szCs w:val="24"/>
        </w:rPr>
        <w:t>一、推行工程监理招标评定分离</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依法必须公开招标的工程监理招标应实施评定分离。评标完成后，评标委员会应当向招标人提交书面评标报告，推荐3-5家</w:t>
      </w:r>
      <w:proofErr w:type="gramStart"/>
      <w:r w:rsidRPr="004423C7">
        <w:rPr>
          <w:rFonts w:ascii="微软雅黑" w:eastAsia="微软雅黑" w:hAnsi="微软雅黑" w:cs="宋体" w:hint="eastAsia"/>
          <w:color w:val="454545"/>
          <w:kern w:val="0"/>
          <w:sz w:val="24"/>
          <w:szCs w:val="24"/>
        </w:rPr>
        <w:t>不</w:t>
      </w:r>
      <w:proofErr w:type="gramEnd"/>
      <w:r w:rsidRPr="004423C7">
        <w:rPr>
          <w:rFonts w:ascii="微软雅黑" w:eastAsia="微软雅黑" w:hAnsi="微软雅黑" w:cs="宋体" w:hint="eastAsia"/>
          <w:color w:val="454545"/>
          <w:kern w:val="0"/>
          <w:sz w:val="24"/>
          <w:szCs w:val="24"/>
        </w:rPr>
        <w:t>排序的中标候选人，并对推荐的中标候选人提出评审意见，由招标人确定中标人。招标人可参考《宜昌市城区房屋建筑和市政基础设施工程施工招标评定分离改革实施细则（试行）》的相关定标规则，组织定标。</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w:t>
      </w:r>
      <w:r w:rsidRPr="004423C7">
        <w:rPr>
          <w:rFonts w:ascii="微软雅黑" w:eastAsia="微软雅黑" w:hAnsi="微软雅黑" w:cs="宋体" w:hint="eastAsia"/>
          <w:b/>
          <w:bCs/>
          <w:color w:val="454545"/>
          <w:kern w:val="0"/>
          <w:sz w:val="24"/>
          <w:szCs w:val="24"/>
        </w:rPr>
        <w:t>二、保障监理服务费用有序竞争</w:t>
      </w:r>
      <w:bookmarkStart w:id="0" w:name="_GoBack"/>
      <w:bookmarkEnd w:id="0"/>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招标人可设置最高投标限价。最高投标限价可参考《建设工程监理与相关服务收费管理规定》（</w:t>
      </w:r>
      <w:proofErr w:type="gramStart"/>
      <w:r w:rsidRPr="004423C7">
        <w:rPr>
          <w:rFonts w:ascii="微软雅黑" w:eastAsia="微软雅黑" w:hAnsi="微软雅黑" w:cs="宋体" w:hint="eastAsia"/>
          <w:color w:val="454545"/>
          <w:kern w:val="0"/>
          <w:sz w:val="24"/>
          <w:szCs w:val="24"/>
        </w:rPr>
        <w:t>发改价格</w:t>
      </w:r>
      <w:proofErr w:type="gramEnd"/>
      <w:r w:rsidRPr="004423C7">
        <w:rPr>
          <w:rFonts w:ascii="微软雅黑" w:eastAsia="微软雅黑" w:hAnsi="微软雅黑" w:cs="宋体" w:hint="eastAsia"/>
          <w:color w:val="454545"/>
          <w:kern w:val="0"/>
          <w:sz w:val="24"/>
          <w:szCs w:val="24"/>
        </w:rPr>
        <w:t>〔2007〕670号）或《建设工程监理与相关服</w:t>
      </w:r>
      <w:r w:rsidRPr="004423C7">
        <w:rPr>
          <w:rFonts w:ascii="微软雅黑" w:eastAsia="微软雅黑" w:hAnsi="微软雅黑" w:cs="宋体" w:hint="eastAsia"/>
          <w:color w:val="454545"/>
          <w:kern w:val="0"/>
          <w:sz w:val="24"/>
          <w:szCs w:val="24"/>
        </w:rPr>
        <w:lastRenderedPageBreak/>
        <w:t>务计费规则》（</w:t>
      </w:r>
      <w:proofErr w:type="gramStart"/>
      <w:r w:rsidRPr="004423C7">
        <w:rPr>
          <w:rFonts w:ascii="微软雅黑" w:eastAsia="微软雅黑" w:hAnsi="微软雅黑" w:cs="宋体" w:hint="eastAsia"/>
          <w:color w:val="454545"/>
          <w:kern w:val="0"/>
          <w:sz w:val="24"/>
          <w:szCs w:val="24"/>
        </w:rPr>
        <w:t>鄂建监协</w:t>
      </w:r>
      <w:proofErr w:type="gramEnd"/>
      <w:r w:rsidRPr="004423C7">
        <w:rPr>
          <w:rFonts w:ascii="微软雅黑" w:eastAsia="微软雅黑" w:hAnsi="微软雅黑" w:cs="宋体" w:hint="eastAsia"/>
          <w:color w:val="454545"/>
          <w:kern w:val="0"/>
          <w:sz w:val="24"/>
          <w:szCs w:val="24"/>
        </w:rPr>
        <w:t>〔2015〕7 号）规定的工程监理服务收费标准上下浮动，但下浮不宜超过20%。监理企业不得低于成本价投标。招标人可以结合工程类型、服务期限、技术复杂程度等实际情况，合理确定报价评审警戒线。投标报价低于报价评审警戒线的，评标委员会应进行是否低于成本价的质询和判定。</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w:t>
      </w:r>
      <w:r w:rsidRPr="004423C7">
        <w:rPr>
          <w:rFonts w:ascii="微软雅黑" w:eastAsia="微软雅黑" w:hAnsi="微软雅黑" w:cs="宋体" w:hint="eastAsia"/>
          <w:b/>
          <w:bCs/>
          <w:color w:val="454545"/>
          <w:kern w:val="0"/>
          <w:sz w:val="24"/>
          <w:szCs w:val="24"/>
        </w:rPr>
        <w:t>三、调整监理业绩认定标准</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监理业绩为近5年内承揽的在建或交（竣）工工程监理业绩。即：以招标项目的投标截止时间为起点，向前推算5年间的工程监理业绩。在建工程监理业绩以合同签订时间为准。房屋建筑和市政基础设施工程交（竣）工工程监理业绩以竣工验收时间（竣工验收报告）为准；公路交通工程交（竣）工监理业绩以工程交工验收时间（交工验收报告）为准。</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w:t>
      </w:r>
      <w:r w:rsidRPr="004423C7">
        <w:rPr>
          <w:rFonts w:ascii="微软雅黑" w:eastAsia="微软雅黑" w:hAnsi="微软雅黑" w:cs="宋体" w:hint="eastAsia"/>
          <w:b/>
          <w:bCs/>
          <w:color w:val="454545"/>
          <w:kern w:val="0"/>
          <w:sz w:val="24"/>
          <w:szCs w:val="24"/>
        </w:rPr>
        <w:t>四、鼓励联合体形式投标</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本地监理企业单独承揽轨道交通、桥梁隧道、综合管廊等重大基础设施工程，以及其他技术复杂工程的项目监理任务，确有困难的，鼓励招标人接受联合体形式投标。</w:t>
      </w:r>
    </w:p>
    <w:p w:rsidR="004423C7" w:rsidRPr="004423C7" w:rsidRDefault="004423C7" w:rsidP="004423C7">
      <w:pPr>
        <w:widowControl/>
        <w:shd w:val="clear" w:color="auto" w:fill="FFFFFF"/>
        <w:spacing w:before="300" w:line="420" w:lineRule="atLeast"/>
        <w:jc w:val="left"/>
        <w:rPr>
          <w:rFonts w:ascii="微软雅黑" w:eastAsia="微软雅黑" w:hAnsi="微软雅黑" w:cs="宋体" w:hint="eastAsia"/>
          <w:color w:val="454545"/>
          <w:kern w:val="0"/>
          <w:sz w:val="24"/>
          <w:szCs w:val="24"/>
        </w:rPr>
      </w:pPr>
      <w:r w:rsidRPr="004423C7">
        <w:rPr>
          <w:rFonts w:ascii="微软雅黑" w:eastAsia="微软雅黑" w:hAnsi="微软雅黑" w:cs="宋体" w:hint="eastAsia"/>
          <w:color w:val="454545"/>
          <w:kern w:val="0"/>
          <w:sz w:val="24"/>
          <w:szCs w:val="24"/>
        </w:rPr>
        <w:t xml:space="preserve">　　本通知自印发之日起施行。《关于加强建设工程监理管理的通知》中的规定与本通知不一致的，按本通知规定施行。本通知施行前已经进入招标阶段的项目按原规定执行。</w:t>
      </w:r>
    </w:p>
    <w:p w:rsidR="004673DD" w:rsidRPr="004423C7" w:rsidRDefault="004673DD"/>
    <w:sectPr w:rsidR="004673DD" w:rsidRPr="004423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2AB"/>
    <w:rsid w:val="000262AB"/>
    <w:rsid w:val="004423C7"/>
    <w:rsid w:val="004673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87BB"/>
  <w15:chartTrackingRefBased/>
  <w15:docId w15:val="{20F56921-C35D-4F19-8ECD-6D033855C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4423C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423C7"/>
    <w:rPr>
      <w:rFonts w:ascii="宋体" w:eastAsia="宋体" w:hAnsi="宋体" w:cs="宋体"/>
      <w:b/>
      <w:bCs/>
      <w:kern w:val="36"/>
      <w:sz w:val="48"/>
      <w:szCs w:val="48"/>
    </w:rPr>
  </w:style>
  <w:style w:type="paragraph" w:styleId="a3">
    <w:name w:val="Normal (Web)"/>
    <w:basedOn w:val="a"/>
    <w:uiPriority w:val="99"/>
    <w:semiHidden/>
    <w:unhideWhenUsed/>
    <w:rsid w:val="004423C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822911">
      <w:bodyDiv w:val="1"/>
      <w:marLeft w:val="0"/>
      <w:marRight w:val="0"/>
      <w:marTop w:val="0"/>
      <w:marBottom w:val="0"/>
      <w:divBdr>
        <w:top w:val="none" w:sz="0" w:space="0" w:color="auto"/>
        <w:left w:val="none" w:sz="0" w:space="0" w:color="auto"/>
        <w:bottom w:val="none" w:sz="0" w:space="0" w:color="auto"/>
        <w:right w:val="none" w:sz="0" w:space="0" w:color="auto"/>
      </w:divBdr>
      <w:divsChild>
        <w:div w:id="445395896">
          <w:marLeft w:val="0"/>
          <w:marRight w:val="0"/>
          <w:marTop w:val="300"/>
          <w:marBottom w:val="600"/>
          <w:divBdr>
            <w:top w:val="none" w:sz="0" w:space="0" w:color="auto"/>
            <w:left w:val="none" w:sz="0" w:space="0" w:color="auto"/>
            <w:bottom w:val="none" w:sz="0" w:space="0" w:color="auto"/>
            <w:right w:val="none" w:sz="0" w:space="0" w:color="auto"/>
          </w:divBdr>
          <w:divsChild>
            <w:div w:id="1267694651">
              <w:marLeft w:val="0"/>
              <w:marRight w:val="0"/>
              <w:marTop w:val="0"/>
              <w:marBottom w:val="0"/>
              <w:divBdr>
                <w:top w:val="none" w:sz="0" w:space="0" w:color="auto"/>
                <w:left w:val="none" w:sz="0" w:space="0" w:color="auto"/>
                <w:bottom w:val="none" w:sz="0" w:space="0" w:color="auto"/>
                <w:right w:val="none" w:sz="0" w:space="0" w:color="auto"/>
              </w:divBdr>
            </w:div>
            <w:div w:id="13476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139</Words>
  <Characters>797</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2023-06-27T09:29:00Z</dcterms:created>
  <dcterms:modified xsi:type="dcterms:W3CDTF">2023-06-27T09:29:00Z</dcterms:modified>
</cp:coreProperties>
</file>