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C52" w:rsidRPr="004F38F5" w:rsidRDefault="00D51C52" w:rsidP="004F38F5">
      <w:pPr>
        <w:pStyle w:val="2"/>
        <w:ind w:leftChars="0" w:left="0" w:firstLineChars="0" w:firstLine="0"/>
        <w:rPr>
          <w:rFonts w:ascii="黑体" w:eastAsia="黑体" w:hAnsi="黑体" w:cs="黑体"/>
          <w:kern w:val="2"/>
          <w:sz w:val="36"/>
          <w:szCs w:val="36"/>
        </w:rPr>
      </w:pPr>
    </w:p>
    <w:p w:rsidR="00D51C52" w:rsidRPr="004F38F5" w:rsidRDefault="004F38F5" w:rsidP="004F38F5">
      <w:pPr>
        <w:jc w:val="center"/>
        <w:rPr>
          <w:rFonts w:ascii="黑体" w:eastAsia="黑体" w:hAnsi="黑体" w:cs="黑体"/>
          <w:kern w:val="2"/>
          <w:sz w:val="36"/>
          <w:szCs w:val="36"/>
        </w:rPr>
      </w:pPr>
      <w:r w:rsidRPr="004F38F5">
        <w:rPr>
          <w:rFonts w:ascii="黑体" w:eastAsia="黑体" w:hAnsi="黑体" w:cs="黑体" w:hint="eastAsia"/>
          <w:kern w:val="2"/>
          <w:sz w:val="36"/>
          <w:szCs w:val="36"/>
        </w:rPr>
        <w:t>大悟县公共资源交易监督管理局</w:t>
      </w:r>
    </w:p>
    <w:p w:rsidR="00D51C52" w:rsidRDefault="009A27F0">
      <w:pPr>
        <w:widowControl w:val="0"/>
        <w:adjustRightInd/>
        <w:snapToGrid/>
        <w:spacing w:after="0"/>
        <w:jc w:val="both"/>
        <w:rPr>
          <w:rFonts w:ascii="黑体" w:eastAsia="黑体" w:hAnsi="黑体" w:cs="黑体"/>
          <w:kern w:val="2"/>
          <w:sz w:val="36"/>
          <w:szCs w:val="36"/>
        </w:rPr>
      </w:pPr>
      <w:r>
        <w:rPr>
          <w:rFonts w:ascii="黑体" w:eastAsia="黑体" w:hAnsi="黑体" w:cs="黑体" w:hint="eastAsia"/>
          <w:kern w:val="2"/>
          <w:sz w:val="36"/>
          <w:szCs w:val="36"/>
        </w:rPr>
        <w:t>关于开展工程建设项目招标计划提前发布工作的通知</w:t>
      </w:r>
    </w:p>
    <w:p w:rsidR="00D51C52" w:rsidRDefault="00D51C52" w:rsidP="004F38F5">
      <w:pPr>
        <w:pStyle w:val="2"/>
        <w:ind w:left="440" w:firstLine="720"/>
        <w:rPr>
          <w:rFonts w:ascii="黑体" w:eastAsia="黑体" w:hAnsi="黑体" w:cs="黑体"/>
          <w:kern w:val="2"/>
          <w:sz w:val="36"/>
          <w:szCs w:val="36"/>
        </w:rPr>
      </w:pPr>
    </w:p>
    <w:p w:rsidR="00D51C52" w:rsidRDefault="00D51C52"/>
    <w:p w:rsidR="00D51C52" w:rsidRDefault="009A27F0">
      <w:pPr>
        <w:widowControl w:val="0"/>
        <w:adjustRightInd/>
        <w:snapToGrid/>
        <w:spacing w:after="0" w:line="360" w:lineRule="auto"/>
        <w:jc w:val="both"/>
        <w:rPr>
          <w:rFonts w:ascii="仿宋_GB2312" w:eastAsia="仿宋_GB2312" w:hAnsi="仿宋_GB2312" w:cs="仿宋_GB2312"/>
          <w:kern w:val="2"/>
          <w:sz w:val="32"/>
          <w:szCs w:val="32"/>
        </w:rPr>
      </w:pPr>
      <w:r>
        <w:rPr>
          <w:rFonts w:ascii="仿宋_GB2312" w:eastAsia="仿宋_GB2312" w:hAnsi="仿宋_GB2312" w:cs="仿宋_GB2312" w:hint="eastAsia"/>
          <w:kern w:val="2"/>
          <w:sz w:val="32"/>
          <w:szCs w:val="32"/>
        </w:rPr>
        <w:t>县各相关部门，各招标人：</w:t>
      </w:r>
    </w:p>
    <w:p w:rsidR="00D51C52" w:rsidRDefault="009A27F0">
      <w:pPr>
        <w:widowControl w:val="0"/>
        <w:adjustRightInd/>
        <w:snapToGrid/>
        <w:spacing w:after="0" w:line="360" w:lineRule="auto"/>
        <w:ind w:firstLineChars="200" w:firstLine="640"/>
        <w:jc w:val="both"/>
        <w:rPr>
          <w:rFonts w:ascii="仿宋_GB2312" w:eastAsia="仿宋_GB2312" w:hAnsi="仿宋_GB2312" w:cs="仿宋_GB2312"/>
          <w:kern w:val="2"/>
          <w:sz w:val="32"/>
          <w:szCs w:val="32"/>
        </w:rPr>
      </w:pPr>
      <w:r>
        <w:rPr>
          <w:rFonts w:ascii="仿宋_GB2312" w:eastAsia="仿宋_GB2312" w:hAnsi="仿宋_GB2312" w:cs="仿宋_GB2312" w:hint="eastAsia"/>
          <w:kern w:val="2"/>
          <w:sz w:val="32"/>
          <w:szCs w:val="32"/>
        </w:rPr>
        <w:t>为进一步推进招标投标全流程电子化改革，维护公平竞争秩序，提高我县公共资源交易的透明度，持续优化我县公共资源营商环境，根据《国务院关于开展营商环境创新试点工作的意见》（国发〔</w:t>
      </w:r>
      <w:r>
        <w:rPr>
          <w:rFonts w:ascii="仿宋_GB2312" w:eastAsia="仿宋_GB2312" w:hAnsi="仿宋_GB2312" w:cs="仿宋_GB2312" w:hint="eastAsia"/>
          <w:kern w:val="2"/>
          <w:sz w:val="32"/>
          <w:szCs w:val="32"/>
        </w:rPr>
        <w:t>2021</w:t>
      </w:r>
      <w:r>
        <w:rPr>
          <w:rFonts w:ascii="仿宋_GB2312" w:eastAsia="仿宋_GB2312" w:hAnsi="仿宋_GB2312" w:cs="仿宋_GB2312" w:hint="eastAsia"/>
          <w:kern w:val="2"/>
          <w:sz w:val="32"/>
          <w:szCs w:val="32"/>
        </w:rPr>
        <w:t>〕</w:t>
      </w:r>
      <w:r>
        <w:rPr>
          <w:rFonts w:ascii="仿宋_GB2312" w:eastAsia="仿宋_GB2312" w:hAnsi="仿宋_GB2312" w:cs="仿宋_GB2312" w:hint="eastAsia"/>
          <w:kern w:val="2"/>
          <w:sz w:val="32"/>
          <w:szCs w:val="32"/>
        </w:rPr>
        <w:t>24</w:t>
      </w:r>
      <w:r>
        <w:rPr>
          <w:rFonts w:ascii="仿宋_GB2312" w:eastAsia="仿宋_GB2312" w:hAnsi="仿宋_GB2312" w:cs="仿宋_GB2312" w:hint="eastAsia"/>
          <w:kern w:val="2"/>
          <w:sz w:val="32"/>
          <w:szCs w:val="32"/>
        </w:rPr>
        <w:t>号）等文件精神，经研究决定开展工程建设项目招标计划（招标预公告）提前发布工作，现就有关事项通知如下</w:t>
      </w:r>
      <w:r>
        <w:rPr>
          <w:rFonts w:ascii="仿宋_GB2312" w:eastAsia="仿宋_GB2312" w:hAnsi="仿宋_GB2312" w:cs="仿宋_GB2312" w:hint="eastAsia"/>
          <w:kern w:val="2"/>
          <w:sz w:val="32"/>
          <w:szCs w:val="32"/>
        </w:rPr>
        <w:t>:</w:t>
      </w:r>
      <w:bookmarkStart w:id="0" w:name="_GoBack"/>
      <w:bookmarkEnd w:id="0"/>
    </w:p>
    <w:p w:rsidR="00D51C52" w:rsidRDefault="009A27F0">
      <w:pPr>
        <w:widowControl w:val="0"/>
        <w:adjustRightInd/>
        <w:snapToGrid/>
        <w:spacing w:after="0" w:line="360" w:lineRule="auto"/>
        <w:ind w:firstLineChars="200" w:firstLine="640"/>
        <w:jc w:val="both"/>
        <w:rPr>
          <w:rFonts w:ascii="黑体" w:eastAsia="黑体" w:hAnsi="黑体" w:cs="黑体"/>
          <w:kern w:val="2"/>
          <w:sz w:val="32"/>
          <w:szCs w:val="32"/>
        </w:rPr>
      </w:pPr>
      <w:r>
        <w:rPr>
          <w:rFonts w:ascii="黑体" w:eastAsia="黑体" w:hAnsi="黑体" w:cs="黑体" w:hint="eastAsia"/>
          <w:kern w:val="2"/>
          <w:sz w:val="32"/>
          <w:szCs w:val="32"/>
        </w:rPr>
        <w:t>一、适用范围</w:t>
      </w:r>
    </w:p>
    <w:p w:rsidR="00D51C52" w:rsidRDefault="009A27F0">
      <w:pPr>
        <w:widowControl w:val="0"/>
        <w:adjustRightInd/>
        <w:snapToGrid/>
        <w:spacing w:after="0" w:line="360" w:lineRule="auto"/>
        <w:ind w:firstLineChars="200" w:firstLine="640"/>
        <w:jc w:val="both"/>
        <w:rPr>
          <w:rFonts w:ascii="仿宋_GB2312" w:eastAsia="仿宋_GB2312" w:hAnsi="仿宋_GB2312" w:cs="仿宋_GB2312"/>
          <w:kern w:val="2"/>
          <w:sz w:val="32"/>
          <w:szCs w:val="32"/>
        </w:rPr>
      </w:pPr>
      <w:r>
        <w:rPr>
          <w:rFonts w:ascii="仿宋_GB2312" w:eastAsia="仿宋_GB2312" w:hAnsi="仿宋_GB2312" w:cs="仿宋_GB2312" w:hint="eastAsia"/>
          <w:kern w:val="2"/>
          <w:sz w:val="32"/>
          <w:szCs w:val="32"/>
        </w:rPr>
        <w:t>我县依法必须进行公开招标的房建、市政、交通、水利等工程建设项目。行业主管部门另有规定的，从其规定。</w:t>
      </w:r>
    </w:p>
    <w:p w:rsidR="00D51C52" w:rsidRDefault="009A27F0">
      <w:pPr>
        <w:widowControl w:val="0"/>
        <w:adjustRightInd/>
        <w:snapToGrid/>
        <w:spacing w:after="0" w:line="360" w:lineRule="auto"/>
        <w:ind w:firstLineChars="200" w:firstLine="640"/>
        <w:jc w:val="both"/>
        <w:rPr>
          <w:rFonts w:ascii="黑体" w:eastAsia="黑体" w:hAnsi="黑体" w:cs="黑体"/>
          <w:kern w:val="2"/>
          <w:sz w:val="32"/>
          <w:szCs w:val="32"/>
        </w:rPr>
      </w:pPr>
      <w:r>
        <w:rPr>
          <w:rFonts w:ascii="黑体" w:eastAsia="黑体" w:hAnsi="黑体" w:cs="黑体" w:hint="eastAsia"/>
          <w:kern w:val="2"/>
          <w:sz w:val="32"/>
          <w:szCs w:val="32"/>
        </w:rPr>
        <w:t>二、招标计划提前发布工作涉及的具体事项</w:t>
      </w:r>
    </w:p>
    <w:p w:rsidR="00D51C52" w:rsidRDefault="009A27F0">
      <w:pPr>
        <w:widowControl w:val="0"/>
        <w:adjustRightInd/>
        <w:snapToGrid/>
        <w:spacing w:after="0" w:line="360" w:lineRule="auto"/>
        <w:ind w:firstLineChars="200" w:firstLine="640"/>
        <w:jc w:val="both"/>
        <w:rPr>
          <w:rFonts w:ascii="仿宋_GB2312" w:eastAsia="仿宋_GB2312" w:hAnsi="仿宋_GB2312" w:cs="仿宋_GB2312"/>
          <w:kern w:val="2"/>
          <w:sz w:val="32"/>
          <w:szCs w:val="32"/>
        </w:rPr>
      </w:pPr>
      <w:r>
        <w:rPr>
          <w:rFonts w:ascii="仿宋_GB2312" w:eastAsia="仿宋_GB2312" w:hAnsi="仿宋_GB2312" w:cs="仿宋_GB2312" w:hint="eastAsia"/>
          <w:kern w:val="2"/>
          <w:sz w:val="32"/>
          <w:szCs w:val="32"/>
        </w:rPr>
        <w:t>（一）公开发布主体。进入县公共资源交易平台交易的工程建设项目各招标人。</w:t>
      </w:r>
    </w:p>
    <w:p w:rsidR="00D51C52" w:rsidRDefault="009A27F0">
      <w:pPr>
        <w:widowControl w:val="0"/>
        <w:adjustRightInd/>
        <w:snapToGrid/>
        <w:spacing w:after="0" w:line="360" w:lineRule="auto"/>
        <w:ind w:firstLineChars="200" w:firstLine="640"/>
        <w:jc w:val="both"/>
        <w:rPr>
          <w:rFonts w:ascii="仿宋_GB2312" w:eastAsia="仿宋_GB2312" w:hAnsi="仿宋_GB2312" w:cs="仿宋_GB2312"/>
          <w:kern w:val="2"/>
          <w:sz w:val="32"/>
          <w:szCs w:val="32"/>
        </w:rPr>
      </w:pPr>
      <w:r>
        <w:rPr>
          <w:rFonts w:ascii="仿宋_GB2312" w:eastAsia="仿宋_GB2312" w:hAnsi="仿宋_GB2312" w:cs="仿宋_GB2312" w:hint="eastAsia"/>
          <w:kern w:val="2"/>
          <w:sz w:val="32"/>
          <w:szCs w:val="32"/>
        </w:rPr>
        <w:t>（二）公开发布内容。项目招标计划应当包括：项目</w:t>
      </w:r>
      <w:r>
        <w:rPr>
          <w:rFonts w:ascii="仿宋_GB2312" w:eastAsia="仿宋_GB2312" w:hAnsi="仿宋_GB2312" w:cs="仿宋_GB2312" w:hint="eastAsia"/>
          <w:kern w:val="2"/>
          <w:sz w:val="32"/>
          <w:szCs w:val="32"/>
        </w:rPr>
        <w:lastRenderedPageBreak/>
        <w:t>名称、项目概况、项目法人（或招标人）、预算金额、主要招标内容、计划招标时间等。招标计划发布内容应尽可能清晰完整，便于潜在投标人知悉和进行投标准备。招标计划发布内容仅作为招标企业提前了解各招标人初步招标计划安排的参考，招标项目的实际内容以招标人最终发布的招标公告和招标文件为准。</w:t>
      </w:r>
    </w:p>
    <w:p w:rsidR="00D51C52" w:rsidRDefault="009A27F0">
      <w:pPr>
        <w:widowControl w:val="0"/>
        <w:adjustRightInd/>
        <w:snapToGrid/>
        <w:spacing w:after="0" w:line="360" w:lineRule="auto"/>
        <w:ind w:firstLineChars="200" w:firstLine="640"/>
        <w:jc w:val="both"/>
        <w:rPr>
          <w:rFonts w:ascii="仿宋_GB2312" w:eastAsia="仿宋_GB2312" w:hAnsi="仿宋_GB2312" w:cs="仿宋_GB2312"/>
          <w:kern w:val="2"/>
          <w:sz w:val="32"/>
          <w:szCs w:val="32"/>
        </w:rPr>
      </w:pPr>
      <w:r>
        <w:rPr>
          <w:rFonts w:ascii="仿宋_GB2312" w:eastAsia="仿宋_GB2312" w:hAnsi="仿宋_GB2312" w:cs="仿宋_GB2312" w:hint="eastAsia"/>
          <w:kern w:val="2"/>
          <w:sz w:val="32"/>
          <w:szCs w:val="32"/>
        </w:rPr>
        <w:t>（三）公开发布渠道。招标计划提前发布工作的主要渠道为“湖北省公共资源交易平台</w:t>
      </w:r>
      <w:r>
        <w:rPr>
          <w:rFonts w:ascii="仿宋_GB2312" w:eastAsia="仿宋_GB2312" w:hAnsi="仿宋_GB2312" w:cs="仿宋_GB2312" w:hint="eastAsia"/>
          <w:kern w:val="2"/>
          <w:sz w:val="32"/>
          <w:szCs w:val="32"/>
        </w:rPr>
        <w:t>（大悟）”。招标人发布招标计划公告的，除在本单位门户网站公布外，还应推送至公共资源交易电子服务系统进行同步发布。</w:t>
      </w:r>
    </w:p>
    <w:p w:rsidR="00D51C52" w:rsidRDefault="009A27F0">
      <w:pPr>
        <w:widowControl w:val="0"/>
        <w:adjustRightInd/>
        <w:snapToGrid/>
        <w:spacing w:after="0" w:line="360" w:lineRule="auto"/>
        <w:ind w:firstLineChars="200" w:firstLine="640"/>
        <w:jc w:val="both"/>
        <w:rPr>
          <w:rFonts w:ascii="仿宋_GB2312" w:eastAsia="仿宋_GB2312" w:hAnsi="仿宋_GB2312" w:cs="仿宋_GB2312"/>
          <w:kern w:val="2"/>
          <w:sz w:val="32"/>
          <w:szCs w:val="32"/>
        </w:rPr>
      </w:pPr>
      <w:r>
        <w:rPr>
          <w:rFonts w:ascii="仿宋_GB2312" w:eastAsia="仿宋_GB2312" w:hAnsi="仿宋_GB2312" w:cs="仿宋_GB2312" w:hint="eastAsia"/>
          <w:kern w:val="2"/>
          <w:sz w:val="32"/>
          <w:szCs w:val="32"/>
        </w:rPr>
        <w:t>（四）公开时间。招标计划发布时间应当尽量提前，除涉密、应急、抢险救灾等项目外，项目法人（或招标人）原则上应在项目挂网招标之日前不少于</w:t>
      </w:r>
      <w:r>
        <w:rPr>
          <w:rFonts w:ascii="仿宋_GB2312" w:eastAsia="仿宋_GB2312" w:hAnsi="仿宋_GB2312" w:cs="仿宋_GB2312" w:hint="eastAsia"/>
          <w:kern w:val="2"/>
          <w:sz w:val="32"/>
          <w:szCs w:val="32"/>
        </w:rPr>
        <w:t>10</w:t>
      </w:r>
      <w:r>
        <w:rPr>
          <w:rFonts w:ascii="仿宋_GB2312" w:eastAsia="仿宋_GB2312" w:hAnsi="仿宋_GB2312" w:cs="仿宋_GB2312" w:hint="eastAsia"/>
          <w:kern w:val="2"/>
          <w:sz w:val="32"/>
          <w:szCs w:val="32"/>
        </w:rPr>
        <w:t>个工作日发布招标计划。因预算单位不可预见的原因急需开展的招标项目，可不公开招标计划（招标预公告）。</w:t>
      </w:r>
    </w:p>
    <w:p w:rsidR="00D51C52" w:rsidRDefault="009A27F0">
      <w:pPr>
        <w:widowControl w:val="0"/>
        <w:adjustRightInd/>
        <w:snapToGrid/>
        <w:spacing w:after="0" w:line="360" w:lineRule="auto"/>
        <w:ind w:firstLineChars="200" w:firstLine="640"/>
        <w:jc w:val="both"/>
        <w:rPr>
          <w:rFonts w:ascii="黑体" w:eastAsia="黑体" w:hAnsi="黑体" w:cs="黑体"/>
          <w:kern w:val="2"/>
          <w:sz w:val="32"/>
          <w:szCs w:val="32"/>
        </w:rPr>
      </w:pPr>
      <w:r>
        <w:rPr>
          <w:rFonts w:ascii="黑体" w:eastAsia="黑体" w:hAnsi="黑体" w:cs="黑体" w:hint="eastAsia"/>
          <w:kern w:val="2"/>
          <w:sz w:val="32"/>
          <w:szCs w:val="32"/>
        </w:rPr>
        <w:t>三、工作要求</w:t>
      </w:r>
    </w:p>
    <w:p w:rsidR="00D51C52" w:rsidRDefault="009A27F0">
      <w:pPr>
        <w:widowControl w:val="0"/>
        <w:adjustRightInd/>
        <w:snapToGrid/>
        <w:spacing w:after="0" w:line="360" w:lineRule="auto"/>
        <w:ind w:firstLineChars="200" w:firstLine="640"/>
        <w:jc w:val="both"/>
        <w:rPr>
          <w:rFonts w:ascii="仿宋_GB2312" w:eastAsia="仿宋_GB2312" w:hAnsi="仿宋_GB2312" w:cs="仿宋_GB2312"/>
          <w:kern w:val="2"/>
          <w:sz w:val="32"/>
          <w:szCs w:val="32"/>
        </w:rPr>
      </w:pPr>
      <w:r>
        <w:rPr>
          <w:rFonts w:ascii="仿宋_GB2312" w:eastAsia="仿宋_GB2312" w:hAnsi="仿宋_GB2312" w:cs="仿宋_GB2312" w:hint="eastAsia"/>
          <w:kern w:val="2"/>
          <w:sz w:val="32"/>
          <w:szCs w:val="32"/>
        </w:rPr>
        <w:t>建立工程建设项目招标计划提前发布机制是落实国家</w:t>
      </w:r>
      <w:r>
        <w:rPr>
          <w:rFonts w:ascii="仿宋_GB2312" w:eastAsia="仿宋_GB2312" w:hAnsi="仿宋_GB2312" w:cs="仿宋_GB2312" w:hint="eastAsia"/>
          <w:kern w:val="2"/>
          <w:sz w:val="32"/>
          <w:szCs w:val="32"/>
        </w:rPr>
        <w:lastRenderedPageBreak/>
        <w:t>和省关于优化招标投标领域营商环境改革的重要举措，便于市场主体提前获知招标信息，激发市场活力。做好招标计</w:t>
      </w:r>
      <w:r>
        <w:rPr>
          <w:rFonts w:ascii="仿宋_GB2312" w:eastAsia="仿宋_GB2312" w:hAnsi="仿宋_GB2312" w:cs="仿宋_GB2312" w:hint="eastAsia"/>
          <w:kern w:val="2"/>
          <w:sz w:val="32"/>
          <w:szCs w:val="32"/>
        </w:rPr>
        <w:t>划提前公开工作有助于提高公共资源交易的透明度和交易质效，保障各方主体平等参与招标投标活动、打造“阳光透明、规范公开”的公共资源交易环境具有重要作用。各相关单位要高度重视，加强协调配合，确保工作按要求落实到位。</w:t>
      </w:r>
    </w:p>
    <w:p w:rsidR="00D51C52" w:rsidRDefault="009A27F0">
      <w:pPr>
        <w:widowControl w:val="0"/>
        <w:adjustRightInd/>
        <w:snapToGrid/>
        <w:spacing w:after="0" w:line="360" w:lineRule="auto"/>
        <w:ind w:firstLineChars="200" w:firstLine="640"/>
        <w:jc w:val="both"/>
        <w:rPr>
          <w:rFonts w:ascii="仿宋_GB2312" w:eastAsia="仿宋_GB2312" w:hAnsi="仿宋_GB2312" w:cs="仿宋_GB2312"/>
          <w:kern w:val="2"/>
          <w:sz w:val="32"/>
          <w:szCs w:val="32"/>
        </w:rPr>
      </w:pPr>
      <w:r>
        <w:rPr>
          <w:rFonts w:ascii="仿宋_GB2312" w:eastAsia="仿宋_GB2312" w:hAnsi="仿宋_GB2312" w:cs="仿宋_GB2312" w:hint="eastAsia"/>
          <w:kern w:val="2"/>
          <w:sz w:val="32"/>
          <w:szCs w:val="32"/>
        </w:rPr>
        <w:t>县公共资源交易中心要进一步拓展平台功能，在湖北省公共资源交易平台（大悟）上线“招标计划（招标预公告）”模块，为各招标人在线发布招标计划提供技术支持。项目法人（或招标人）要强化其招标项目的主体责任，按照本通知的要求全面及时的发布招标计划，并确保内容准确。</w:t>
      </w:r>
    </w:p>
    <w:p w:rsidR="00D51C52" w:rsidRDefault="009A27F0">
      <w:pPr>
        <w:widowControl w:val="0"/>
        <w:adjustRightInd/>
        <w:snapToGrid/>
        <w:spacing w:after="0" w:line="360" w:lineRule="auto"/>
        <w:ind w:firstLineChars="200" w:firstLine="640"/>
        <w:jc w:val="both"/>
        <w:rPr>
          <w:rFonts w:ascii="仿宋_GB2312" w:eastAsia="仿宋_GB2312" w:hAnsi="仿宋_GB2312" w:cs="仿宋_GB2312"/>
          <w:kern w:val="2"/>
          <w:sz w:val="32"/>
          <w:szCs w:val="32"/>
        </w:rPr>
      </w:pPr>
      <w:r>
        <w:rPr>
          <w:rFonts w:ascii="仿宋_GB2312" w:eastAsia="仿宋_GB2312" w:hAnsi="仿宋_GB2312" w:cs="仿宋_GB2312" w:hint="eastAsia"/>
          <w:kern w:val="2"/>
          <w:sz w:val="32"/>
          <w:szCs w:val="32"/>
        </w:rPr>
        <w:t>本通知自</w:t>
      </w:r>
      <w:r>
        <w:rPr>
          <w:rFonts w:ascii="仿宋_GB2312" w:eastAsia="仿宋_GB2312" w:hAnsi="仿宋_GB2312" w:cs="仿宋_GB2312" w:hint="eastAsia"/>
          <w:kern w:val="2"/>
          <w:sz w:val="32"/>
          <w:szCs w:val="32"/>
        </w:rPr>
        <w:t>2022</w:t>
      </w:r>
      <w:r>
        <w:rPr>
          <w:rFonts w:ascii="仿宋_GB2312" w:eastAsia="仿宋_GB2312" w:hAnsi="仿宋_GB2312" w:cs="仿宋_GB2312" w:hint="eastAsia"/>
          <w:kern w:val="2"/>
          <w:sz w:val="32"/>
          <w:szCs w:val="32"/>
        </w:rPr>
        <w:t>年</w:t>
      </w:r>
      <w:r>
        <w:rPr>
          <w:rFonts w:ascii="仿宋_GB2312" w:eastAsia="仿宋_GB2312" w:hAnsi="仿宋_GB2312" w:cs="仿宋_GB2312" w:hint="eastAsia"/>
          <w:kern w:val="2"/>
          <w:sz w:val="32"/>
          <w:szCs w:val="32"/>
        </w:rPr>
        <w:t>8</w:t>
      </w:r>
      <w:r>
        <w:rPr>
          <w:rFonts w:ascii="仿宋_GB2312" w:eastAsia="仿宋_GB2312" w:hAnsi="仿宋_GB2312" w:cs="仿宋_GB2312" w:hint="eastAsia"/>
          <w:kern w:val="2"/>
          <w:sz w:val="32"/>
          <w:szCs w:val="32"/>
        </w:rPr>
        <w:t>月</w:t>
      </w:r>
      <w:r>
        <w:rPr>
          <w:rFonts w:ascii="仿宋_GB2312" w:eastAsia="仿宋_GB2312" w:hAnsi="仿宋_GB2312" w:cs="仿宋_GB2312" w:hint="eastAsia"/>
          <w:kern w:val="2"/>
          <w:sz w:val="32"/>
          <w:szCs w:val="32"/>
        </w:rPr>
        <w:t>1</w:t>
      </w:r>
      <w:r>
        <w:rPr>
          <w:rFonts w:ascii="仿宋_GB2312" w:eastAsia="仿宋_GB2312" w:hAnsi="仿宋_GB2312" w:cs="仿宋_GB2312" w:hint="eastAsia"/>
          <w:kern w:val="2"/>
          <w:sz w:val="32"/>
          <w:szCs w:val="32"/>
        </w:rPr>
        <w:t>日起执行。</w:t>
      </w:r>
    </w:p>
    <w:p w:rsidR="00D51C52" w:rsidRDefault="00D51C52" w:rsidP="004F38F5">
      <w:pPr>
        <w:pStyle w:val="2"/>
        <w:ind w:leftChars="0" w:left="0" w:firstLineChars="0" w:firstLine="0"/>
      </w:pPr>
    </w:p>
    <w:p w:rsidR="00D51C52" w:rsidRDefault="00D51C52" w:rsidP="004F38F5">
      <w:pPr>
        <w:pStyle w:val="2"/>
        <w:ind w:left="440" w:firstLine="440"/>
      </w:pPr>
    </w:p>
    <w:p w:rsidR="00D51C52" w:rsidRDefault="009A27F0">
      <w:pPr>
        <w:widowControl w:val="0"/>
        <w:adjustRightInd/>
        <w:snapToGrid/>
        <w:spacing w:after="0" w:line="360" w:lineRule="auto"/>
        <w:ind w:firstLineChars="200" w:firstLine="640"/>
        <w:jc w:val="center"/>
        <w:rPr>
          <w:rFonts w:ascii="仿宋_GB2312" w:eastAsia="仿宋_GB2312" w:hAnsi="仿宋_GB2312" w:cs="仿宋_GB2312"/>
          <w:kern w:val="2"/>
          <w:sz w:val="32"/>
          <w:szCs w:val="32"/>
        </w:rPr>
      </w:pPr>
      <w:r>
        <w:rPr>
          <w:rFonts w:ascii="仿宋_GB2312" w:eastAsia="仿宋_GB2312" w:hAnsi="仿宋_GB2312" w:cs="仿宋_GB2312" w:hint="eastAsia"/>
          <w:kern w:val="2"/>
          <w:sz w:val="32"/>
          <w:szCs w:val="32"/>
        </w:rPr>
        <w:t xml:space="preserve">      </w:t>
      </w:r>
      <w:r>
        <w:rPr>
          <w:rFonts w:ascii="仿宋_GB2312" w:eastAsia="仿宋_GB2312" w:hAnsi="仿宋_GB2312" w:cs="仿宋_GB2312" w:hint="eastAsia"/>
          <w:kern w:val="2"/>
          <w:sz w:val="32"/>
          <w:szCs w:val="32"/>
        </w:rPr>
        <w:t>大悟县公共资源交易监督管理局</w:t>
      </w:r>
    </w:p>
    <w:p w:rsidR="00D51C52" w:rsidRDefault="009A27F0">
      <w:pPr>
        <w:widowControl w:val="0"/>
        <w:adjustRightInd/>
        <w:snapToGrid/>
        <w:spacing w:after="0" w:line="360" w:lineRule="auto"/>
        <w:ind w:firstLineChars="200" w:firstLine="640"/>
        <w:jc w:val="center"/>
        <w:rPr>
          <w:rFonts w:ascii="仿宋_GB2312" w:eastAsia="仿宋_GB2312" w:hAnsi="仿宋_GB2312" w:cs="仿宋_GB2312"/>
          <w:kern w:val="2"/>
          <w:sz w:val="32"/>
          <w:szCs w:val="32"/>
        </w:rPr>
      </w:pPr>
      <w:r>
        <w:rPr>
          <w:rFonts w:ascii="仿宋_GB2312" w:eastAsia="仿宋_GB2312" w:hAnsi="仿宋_GB2312" w:cs="仿宋_GB2312" w:hint="eastAsia"/>
          <w:kern w:val="2"/>
          <w:sz w:val="32"/>
          <w:szCs w:val="32"/>
        </w:rPr>
        <w:t xml:space="preserve">      2022</w:t>
      </w:r>
      <w:r>
        <w:rPr>
          <w:rFonts w:ascii="仿宋_GB2312" w:eastAsia="仿宋_GB2312" w:hAnsi="仿宋_GB2312" w:cs="仿宋_GB2312" w:hint="eastAsia"/>
          <w:kern w:val="2"/>
          <w:sz w:val="32"/>
          <w:szCs w:val="32"/>
        </w:rPr>
        <w:t>年</w:t>
      </w:r>
      <w:r>
        <w:rPr>
          <w:rFonts w:ascii="仿宋_GB2312" w:eastAsia="仿宋_GB2312" w:hAnsi="仿宋_GB2312" w:cs="仿宋_GB2312" w:hint="eastAsia"/>
          <w:kern w:val="2"/>
          <w:sz w:val="32"/>
          <w:szCs w:val="32"/>
        </w:rPr>
        <w:t>7</w:t>
      </w:r>
      <w:r>
        <w:rPr>
          <w:rFonts w:ascii="仿宋_GB2312" w:eastAsia="仿宋_GB2312" w:hAnsi="仿宋_GB2312" w:cs="仿宋_GB2312" w:hint="eastAsia"/>
          <w:kern w:val="2"/>
          <w:sz w:val="32"/>
          <w:szCs w:val="32"/>
        </w:rPr>
        <w:t>月</w:t>
      </w:r>
      <w:r>
        <w:rPr>
          <w:rFonts w:ascii="仿宋_GB2312" w:eastAsia="仿宋_GB2312" w:hAnsi="仿宋_GB2312" w:cs="仿宋_GB2312" w:hint="eastAsia"/>
          <w:kern w:val="2"/>
          <w:sz w:val="32"/>
          <w:szCs w:val="32"/>
        </w:rPr>
        <w:t>29</w:t>
      </w:r>
      <w:r>
        <w:rPr>
          <w:rFonts w:ascii="仿宋_GB2312" w:eastAsia="仿宋_GB2312" w:hAnsi="仿宋_GB2312" w:cs="仿宋_GB2312" w:hint="eastAsia"/>
          <w:kern w:val="2"/>
          <w:sz w:val="32"/>
          <w:szCs w:val="32"/>
        </w:rPr>
        <w:t>日</w:t>
      </w:r>
    </w:p>
    <w:p w:rsidR="00D51C52" w:rsidRDefault="00D51C52">
      <w:pPr>
        <w:widowControl w:val="0"/>
        <w:adjustRightInd/>
        <w:snapToGrid/>
        <w:spacing w:after="0" w:line="360" w:lineRule="auto"/>
        <w:ind w:firstLineChars="200" w:firstLine="640"/>
        <w:jc w:val="both"/>
        <w:rPr>
          <w:rFonts w:ascii="仿宋_GB2312" w:eastAsia="仿宋_GB2312" w:hAnsi="仿宋_GB2312" w:cs="仿宋_GB2312"/>
          <w:kern w:val="2"/>
          <w:sz w:val="32"/>
          <w:szCs w:val="32"/>
        </w:rPr>
      </w:pPr>
    </w:p>
    <w:sectPr w:rsidR="00D51C52" w:rsidSect="00D51C52">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27F0" w:rsidRDefault="009A27F0">
      <w:r>
        <w:separator/>
      </w:r>
    </w:p>
  </w:endnote>
  <w:endnote w:type="continuationSeparator" w:id="0">
    <w:p w:rsidR="009A27F0" w:rsidRDefault="009A27F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0AFF" w:usb1="00007843" w:usb2="00000001" w:usb3="00000000" w:csb0="000001BF" w:csb1="00000000"/>
  </w:font>
  <w:font w:name="Tahoma">
    <w:panose1 w:val="020B0604030504040204"/>
    <w:charset w:val="00"/>
    <w:family w:val="swiss"/>
    <w:pitch w:val="variable"/>
    <w:sig w:usb0="E1002EFF" w:usb1="C000605B" w:usb2="00000029" w:usb3="00000000" w:csb0="000101FF" w:csb1="00000000"/>
  </w:font>
  <w:font w:name="楷体_GB2312">
    <w:altName w:val="微软雅黑"/>
    <w:charset w:val="86"/>
    <w:family w:val="auto"/>
    <w:pitch w:val="default"/>
    <w:sig w:usb0="00000000" w:usb1="080E0000" w:usb2="0000000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roman"/>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27F0" w:rsidRDefault="009A27F0">
      <w:pPr>
        <w:spacing w:after="0"/>
      </w:pPr>
      <w:r>
        <w:separator/>
      </w:r>
    </w:p>
  </w:footnote>
  <w:footnote w:type="continuationSeparator" w:id="0">
    <w:p w:rsidR="009A27F0" w:rsidRDefault="009A27F0">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
  <w:docVars>
    <w:docVar w:name="commondata" w:val="eyJoZGlkIjoiNzA5MWRkZDJkNTgyMWViNzM5ZWIwMTA4MGU2N2JlOTgifQ=="/>
  </w:docVars>
  <w:rsids>
    <w:rsidRoot w:val="00D31D50"/>
    <w:rsid w:val="000734B1"/>
    <w:rsid w:val="00323B43"/>
    <w:rsid w:val="003D37D8"/>
    <w:rsid w:val="00426133"/>
    <w:rsid w:val="004358AB"/>
    <w:rsid w:val="004F38F5"/>
    <w:rsid w:val="007801E7"/>
    <w:rsid w:val="008B7726"/>
    <w:rsid w:val="009A27F0"/>
    <w:rsid w:val="00A136E5"/>
    <w:rsid w:val="00AC3F09"/>
    <w:rsid w:val="00D31D50"/>
    <w:rsid w:val="00D51C52"/>
    <w:rsid w:val="00E01050"/>
    <w:rsid w:val="00E55CA2"/>
    <w:rsid w:val="00FA1465"/>
    <w:rsid w:val="588A072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D51C52"/>
    <w:pPr>
      <w:adjustRightInd w:val="0"/>
      <w:snapToGrid w:val="0"/>
      <w:spacing w:after="200"/>
    </w:pPr>
    <w:rPr>
      <w:rFonts w:ascii="Tahoma" w:hAnsi="Tahom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qFormat/>
    <w:rsid w:val="00D51C52"/>
    <w:pPr>
      <w:ind w:leftChars="200" w:left="420" w:firstLineChars="200" w:firstLine="420"/>
    </w:pPr>
    <w:rPr>
      <w:rFonts w:ascii="Times New Roman" w:hAnsi="Times New Roman"/>
      <w:szCs w:val="20"/>
    </w:rPr>
  </w:style>
  <w:style w:type="paragraph" w:styleId="a3">
    <w:name w:val="Body Text Indent"/>
    <w:basedOn w:val="a"/>
    <w:next w:val="a"/>
    <w:qFormat/>
    <w:rsid w:val="00D51C52"/>
    <w:pPr>
      <w:ind w:firstLine="660"/>
    </w:pPr>
    <w:rPr>
      <w:rFonts w:ascii="楷体_GB2312" w:hAnsi="宋体"/>
      <w:szCs w:val="24"/>
    </w:rPr>
  </w:style>
  <w:style w:type="paragraph" w:styleId="a4">
    <w:name w:val="Normal (Web)"/>
    <w:basedOn w:val="a"/>
    <w:uiPriority w:val="99"/>
    <w:semiHidden/>
    <w:unhideWhenUsed/>
    <w:rsid w:val="00D51C52"/>
    <w:pPr>
      <w:adjustRightInd/>
      <w:snapToGrid/>
      <w:spacing w:before="100" w:beforeAutospacing="1" w:after="100" w:afterAutospacing="1"/>
    </w:pPr>
    <w:rPr>
      <w:rFonts w:ascii="宋体" w:eastAsia="宋体" w:hAnsi="宋体" w:cs="宋体"/>
      <w:sz w:val="24"/>
      <w:szCs w:val="24"/>
    </w:rPr>
  </w:style>
  <w:style w:type="character" w:styleId="a5">
    <w:name w:val="Strong"/>
    <w:basedOn w:val="a0"/>
    <w:uiPriority w:val="22"/>
    <w:qFormat/>
    <w:rsid w:val="00D51C52"/>
    <w:rPr>
      <w:b/>
      <w:bCs/>
    </w:rPr>
  </w:style>
  <w:style w:type="paragraph" w:customStyle="1" w:styleId="datatime1">
    <w:name w:val="data_time1"/>
    <w:basedOn w:val="a"/>
    <w:rsid w:val="00D51C52"/>
    <w:pPr>
      <w:adjustRightInd/>
      <w:snapToGrid/>
      <w:spacing w:before="100" w:beforeAutospacing="1" w:after="100" w:afterAutospacing="1" w:line="480" w:lineRule="auto"/>
    </w:pPr>
    <w:rPr>
      <w:rFonts w:ascii="宋体" w:eastAsia="宋体" w:hAnsi="宋体" w:cs="宋体"/>
      <w:color w:val="999999"/>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4</Pages>
  <Words>158</Words>
  <Characters>901</Characters>
  <Application>Microsoft Office Word</Application>
  <DocSecurity>0</DocSecurity>
  <Lines>7</Lines>
  <Paragraphs>2</Paragraphs>
  <ScaleCrop>false</ScaleCrop>
  <Company/>
  <LinksUpToDate>false</LinksUpToDate>
  <CharactersWithSpaces>1057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cp:lastPrinted>2022-10-25T02:54:00Z</cp:lastPrinted>
  <dcterms:created xsi:type="dcterms:W3CDTF">2008-09-11T17:20:00Z</dcterms:created>
  <dcterms:modified xsi:type="dcterms:W3CDTF">2022-10-25T03:05:00Z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586AF7B84D9945A4988D5C117A451EB5</vt:lpwstr>
  </property>
</Properties>
</file>