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eastAsia="仿宋_GB2312"/>
          <w:sz w:val="32"/>
          <w:szCs w:val="32"/>
        </w:rPr>
      </w:pPr>
    </w:p>
    <w:p>
      <w:pPr>
        <w:rPr>
          <w:rFonts w:ascii="仿宋_GB2312" w:eastAsia="仿宋_GB2312"/>
          <w:sz w:val="32"/>
          <w:szCs w:val="32"/>
        </w:rPr>
      </w:pPr>
    </w:p>
    <w:p>
      <w:pPr>
        <w:snapToGrid w:val="0"/>
        <w:spacing w:line="240" w:lineRule="atLeast"/>
        <w:jc w:val="center"/>
        <w:rPr>
          <w:rFonts w:hint="eastAsia" w:ascii="仿宋" w:hAnsi="仿宋" w:eastAsia="仿宋" w:cs="仿宋"/>
          <w:color w:val="000000"/>
          <w:sz w:val="32"/>
          <w:szCs w:val="32"/>
        </w:rPr>
      </w:pPr>
      <w:r>
        <w:rPr>
          <w:rFonts w:hint="eastAsia" w:ascii="仿宋" w:hAnsi="仿宋" w:eastAsia="仿宋" w:cs="仿宋"/>
          <w:bCs/>
          <w:kern w:val="21"/>
          <w:sz w:val="32"/>
          <w:szCs w:val="32"/>
        </w:rPr>
        <w:t xml:space="preserve"> 孝公管发</w:t>
      </w:r>
      <w:r>
        <w:rPr>
          <w:rFonts w:hint="eastAsia" w:ascii="仿宋" w:hAnsi="仿宋" w:eastAsia="仿宋" w:cs="仿宋"/>
          <w:color w:val="000000"/>
          <w:sz w:val="32"/>
          <w:szCs w:val="32"/>
        </w:rPr>
        <w:t>〔2017〕</w:t>
      </w:r>
      <w:r>
        <w:rPr>
          <w:rFonts w:hint="eastAsia" w:ascii="仿宋" w:hAnsi="仿宋" w:eastAsia="仿宋" w:cs="仿宋"/>
          <w:color w:val="000000"/>
          <w:sz w:val="32"/>
          <w:szCs w:val="32"/>
          <w:lang w:val="en-US" w:eastAsia="zh-CN"/>
        </w:rPr>
        <w:t>2</w:t>
      </w:r>
      <w:r>
        <w:rPr>
          <w:rFonts w:hint="eastAsia" w:ascii="仿宋" w:hAnsi="仿宋" w:eastAsia="仿宋" w:cs="仿宋"/>
          <w:color w:val="000000"/>
          <w:sz w:val="32"/>
          <w:szCs w:val="32"/>
        </w:rPr>
        <w:t>号</w:t>
      </w:r>
    </w:p>
    <w:p>
      <w:pPr>
        <w:snapToGrid w:val="0"/>
        <w:spacing w:line="240" w:lineRule="atLeast"/>
        <w:jc w:val="center"/>
        <w:rPr>
          <w:rFonts w:hint="eastAsia" w:ascii="仿宋" w:hAnsi="仿宋" w:eastAsia="仿宋" w:cs="仿宋"/>
          <w:color w:val="000000"/>
          <w:sz w:val="32"/>
          <w:szCs w:val="32"/>
        </w:rPr>
      </w:pPr>
    </w:p>
    <w:p>
      <w:pPr>
        <w:snapToGrid w:val="0"/>
        <w:spacing w:line="240" w:lineRule="atLeast"/>
        <w:jc w:val="center"/>
        <w:rPr>
          <w:rFonts w:hint="eastAsia" w:ascii="仿宋" w:hAnsi="仿宋" w:eastAsia="仿宋" w:cs="仿宋"/>
          <w:color w:val="000000"/>
          <w:sz w:val="32"/>
          <w:szCs w:val="32"/>
        </w:rPr>
      </w:pPr>
    </w:p>
    <w:p>
      <w:pPr>
        <w:snapToGrid w:val="0"/>
        <w:spacing w:line="240" w:lineRule="atLeast"/>
        <w:jc w:val="center"/>
        <w:rPr>
          <w:rFonts w:hint="eastAsia" w:ascii="仿宋" w:hAnsi="仿宋" w:eastAsia="仿宋" w:cs="仿宋"/>
          <w:color w:val="000000"/>
          <w:sz w:val="32"/>
          <w:szCs w:val="32"/>
        </w:rPr>
      </w:pPr>
    </w:p>
    <w:p>
      <w:pPr>
        <w:widowControl/>
        <w:jc w:val="center"/>
        <w:rPr>
          <w:rFonts w:hint="eastAsia" w:ascii="黑体" w:hAnsi="黑体" w:eastAsia="黑体" w:cs="黑体"/>
          <w:b w:val="0"/>
          <w:bCs/>
          <w:kern w:val="0"/>
          <w:sz w:val="44"/>
          <w:szCs w:val="44"/>
        </w:rPr>
      </w:pPr>
      <w:r>
        <w:rPr>
          <w:rFonts w:hint="eastAsia" w:ascii="黑体" w:hAnsi="黑体" w:eastAsia="黑体" w:cs="黑体"/>
          <w:b w:val="0"/>
          <w:bCs/>
          <w:kern w:val="0"/>
          <w:sz w:val="44"/>
          <w:szCs w:val="44"/>
          <w:lang w:eastAsia="zh-CN"/>
        </w:rPr>
        <w:t>关于印发《</w:t>
      </w:r>
      <w:r>
        <w:rPr>
          <w:rFonts w:hint="eastAsia" w:ascii="黑体" w:hAnsi="黑体" w:eastAsia="黑体" w:cs="黑体"/>
          <w:b w:val="0"/>
          <w:bCs/>
          <w:kern w:val="0"/>
          <w:sz w:val="44"/>
          <w:szCs w:val="44"/>
        </w:rPr>
        <w:t>孝感市公共资源交易平台管理办法</w:t>
      </w:r>
      <w:r>
        <w:rPr>
          <w:rFonts w:hint="eastAsia" w:ascii="黑体" w:hAnsi="黑体" w:eastAsia="黑体" w:cs="黑体"/>
          <w:b w:val="0"/>
          <w:bCs/>
          <w:kern w:val="0"/>
          <w:sz w:val="44"/>
          <w:szCs w:val="44"/>
          <w:lang w:eastAsia="zh-CN"/>
        </w:rPr>
        <w:t>》的通知</w:t>
      </w:r>
    </w:p>
    <w:p>
      <w:pPr>
        <w:rPr>
          <w:rFonts w:ascii="仿宋_GB2312" w:eastAsia="仿宋_GB2312"/>
          <w:sz w:val="32"/>
          <w:szCs w:val="32"/>
        </w:rPr>
      </w:pPr>
    </w:p>
    <w:p>
      <w:pPr>
        <w:rPr>
          <w:rFonts w:ascii="仿宋_GB2312" w:eastAsia="仿宋_GB2312"/>
          <w:sz w:val="32"/>
          <w:szCs w:val="32"/>
        </w:rPr>
      </w:pPr>
    </w:p>
    <w:p>
      <w:pPr>
        <w:rPr>
          <w:rFonts w:hint="eastAsia" w:ascii="仿宋" w:hAnsi="仿宋" w:eastAsia="仿宋" w:cs="仿宋"/>
          <w:bCs/>
          <w:sz w:val="32"/>
          <w:szCs w:val="32"/>
        </w:rPr>
      </w:pPr>
      <w:r>
        <w:rPr>
          <w:rFonts w:hint="eastAsia" w:ascii="仿宋" w:hAnsi="仿宋" w:eastAsia="仿宋" w:cs="仿宋"/>
          <w:bCs/>
          <w:sz w:val="32"/>
          <w:szCs w:val="32"/>
        </w:rPr>
        <w:t>各县市区公共资源交易管理委员会，市公共资源交易管理委员会各成员单位：</w:t>
      </w:r>
    </w:p>
    <w:p>
      <w:pPr>
        <w:ind w:firstLine="640"/>
        <w:rPr>
          <w:rFonts w:hint="eastAsia" w:ascii="仿宋" w:hAnsi="仿宋" w:eastAsia="仿宋" w:cs="仿宋"/>
          <w:color w:val="000000"/>
          <w:sz w:val="32"/>
          <w:szCs w:val="32"/>
        </w:rPr>
      </w:pPr>
      <w:r>
        <w:rPr>
          <w:rFonts w:hint="eastAsia" w:ascii="仿宋" w:hAnsi="仿宋" w:eastAsia="仿宋" w:cs="仿宋"/>
          <w:bCs/>
          <w:sz w:val="32"/>
          <w:szCs w:val="32"/>
        </w:rPr>
        <w:t>现将《孝感市公共资源交易平台管理办法</w:t>
      </w:r>
      <w:r>
        <w:rPr>
          <w:rFonts w:hint="eastAsia" w:ascii="仿宋" w:hAnsi="仿宋" w:eastAsia="仿宋" w:cs="仿宋"/>
          <w:bCs/>
          <w:sz w:val="32"/>
          <w:szCs w:val="32"/>
          <w:lang w:eastAsia="zh-CN"/>
        </w:rPr>
        <w:t>》印</w:t>
      </w:r>
      <w:r>
        <w:rPr>
          <w:rFonts w:hint="eastAsia" w:ascii="仿宋" w:hAnsi="仿宋" w:eastAsia="仿宋" w:cs="仿宋"/>
          <w:bCs/>
          <w:sz w:val="32"/>
          <w:szCs w:val="32"/>
        </w:rPr>
        <w:t>发你们，</w:t>
      </w:r>
      <w:r>
        <w:rPr>
          <w:rFonts w:hint="eastAsia" w:ascii="仿宋" w:hAnsi="仿宋" w:eastAsia="仿宋" w:cs="仿宋"/>
          <w:color w:val="000000"/>
          <w:sz w:val="32"/>
          <w:szCs w:val="32"/>
        </w:rPr>
        <w:t>请</w:t>
      </w:r>
      <w:r>
        <w:rPr>
          <w:rFonts w:hint="eastAsia" w:ascii="仿宋" w:hAnsi="仿宋" w:eastAsia="仿宋" w:cs="仿宋"/>
          <w:color w:val="000000"/>
          <w:sz w:val="32"/>
          <w:szCs w:val="32"/>
          <w:lang w:eastAsia="zh-CN"/>
        </w:rPr>
        <w:t>各地</w:t>
      </w:r>
      <w:r>
        <w:rPr>
          <w:rFonts w:hint="eastAsia" w:ascii="仿宋" w:hAnsi="仿宋" w:eastAsia="仿宋" w:cs="仿宋"/>
          <w:color w:val="000000"/>
          <w:sz w:val="32"/>
          <w:szCs w:val="32"/>
        </w:rPr>
        <w:t>认真组织实施。</w:t>
      </w:r>
    </w:p>
    <w:p>
      <w:pPr>
        <w:ind w:firstLine="640"/>
        <w:rPr>
          <w:rFonts w:hint="eastAsia" w:ascii="仿宋" w:hAnsi="仿宋" w:eastAsia="仿宋" w:cs="仿宋"/>
          <w:color w:val="000000"/>
          <w:sz w:val="32"/>
          <w:szCs w:val="32"/>
        </w:rPr>
      </w:pPr>
    </w:p>
    <w:p>
      <w:pPr>
        <w:ind w:firstLine="640"/>
        <w:rPr>
          <w:rFonts w:hint="eastAsia" w:ascii="仿宋" w:hAnsi="仿宋" w:eastAsia="仿宋" w:cs="仿宋"/>
          <w:color w:val="000000"/>
          <w:sz w:val="32"/>
          <w:szCs w:val="32"/>
        </w:rPr>
      </w:pPr>
    </w:p>
    <w:p>
      <w:pPr>
        <w:ind w:firstLine="640"/>
        <w:rPr>
          <w:rFonts w:hint="eastAsia" w:ascii="仿宋" w:hAnsi="仿宋" w:eastAsia="仿宋" w:cs="仿宋"/>
          <w:color w:val="000000"/>
          <w:sz w:val="32"/>
          <w:szCs w:val="32"/>
        </w:rPr>
      </w:pPr>
    </w:p>
    <w:p>
      <w:pPr>
        <w:widowControl/>
        <w:snapToGrid w:val="0"/>
        <w:spacing w:line="360" w:lineRule="auto"/>
        <w:ind w:firstLine="2864" w:firstLineChars="895"/>
        <w:jc w:val="left"/>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孝感市公共资源交易管理委员会</w:t>
      </w:r>
    </w:p>
    <w:p>
      <w:pPr>
        <w:widowControl/>
        <w:snapToGrid w:val="0"/>
        <w:spacing w:line="360" w:lineRule="auto"/>
        <w:ind w:firstLine="3984" w:firstLineChars="1245"/>
        <w:jc w:val="left"/>
        <w:rPr>
          <w:rFonts w:hint="eastAsia" w:ascii="仿宋" w:hAnsi="仿宋" w:eastAsia="仿宋" w:cs="仿宋"/>
          <w:color w:val="000000"/>
          <w:sz w:val="32"/>
          <w:szCs w:val="32"/>
        </w:rPr>
      </w:pPr>
      <w:r>
        <w:rPr>
          <w:rFonts w:hint="eastAsia" w:ascii="仿宋" w:hAnsi="仿宋" w:eastAsia="仿宋" w:cs="仿宋"/>
          <w:color w:val="000000"/>
          <w:sz w:val="32"/>
          <w:szCs w:val="32"/>
        </w:rPr>
        <w:t>2017年</w:t>
      </w:r>
      <w:r>
        <w:rPr>
          <w:rFonts w:hint="eastAsia" w:ascii="仿宋" w:hAnsi="仿宋" w:eastAsia="仿宋" w:cs="仿宋"/>
          <w:color w:val="000000"/>
          <w:sz w:val="32"/>
          <w:szCs w:val="32"/>
          <w:lang w:val="en-US" w:eastAsia="zh-CN"/>
        </w:rPr>
        <w:t>5</w:t>
      </w:r>
      <w:r>
        <w:rPr>
          <w:rFonts w:hint="eastAsia" w:ascii="仿宋" w:hAnsi="仿宋" w:eastAsia="仿宋" w:cs="仿宋"/>
          <w:color w:val="000000"/>
          <w:sz w:val="32"/>
          <w:szCs w:val="32"/>
        </w:rPr>
        <w:t>月</w:t>
      </w:r>
      <w:r>
        <w:rPr>
          <w:rFonts w:hint="eastAsia" w:ascii="仿宋" w:hAnsi="仿宋" w:eastAsia="仿宋" w:cs="仿宋"/>
          <w:color w:val="000000"/>
          <w:sz w:val="32"/>
          <w:szCs w:val="32"/>
          <w:lang w:val="en-US" w:eastAsia="zh-CN"/>
        </w:rPr>
        <w:t>2</w:t>
      </w:r>
      <w:r>
        <w:rPr>
          <w:rFonts w:hint="eastAsia" w:ascii="仿宋" w:hAnsi="仿宋" w:eastAsia="仿宋" w:cs="仿宋"/>
          <w:color w:val="000000"/>
          <w:sz w:val="32"/>
          <w:szCs w:val="32"/>
        </w:rPr>
        <w:t>日</w:t>
      </w:r>
    </w:p>
    <w:p>
      <w:pPr>
        <w:ind w:firstLine="640"/>
        <w:rPr>
          <w:rFonts w:hint="eastAsia" w:ascii="仿宋" w:hAnsi="仿宋" w:eastAsia="仿宋" w:cs="仿宋"/>
          <w:color w:val="000000"/>
          <w:sz w:val="32"/>
          <w:szCs w:val="32"/>
          <w:lang w:val="en-US" w:eastAsia="zh-CN"/>
        </w:rPr>
      </w:pPr>
    </w:p>
    <w:p>
      <w:pPr>
        <w:rPr>
          <w:rFonts w:ascii="仿宋_GB2312" w:eastAsia="仿宋_GB2312"/>
          <w:sz w:val="32"/>
          <w:szCs w:val="32"/>
        </w:rPr>
      </w:pPr>
    </w:p>
    <w:p>
      <w:pPr>
        <w:rPr>
          <w:rFonts w:ascii="仿宋_GB2312" w:eastAsia="仿宋_GB2312"/>
          <w:sz w:val="32"/>
          <w:szCs w:val="32"/>
        </w:rPr>
      </w:pPr>
    </w:p>
    <w:p>
      <w:pPr>
        <w:widowControl/>
        <w:jc w:val="both"/>
        <w:rPr>
          <w:rFonts w:ascii="宋体" w:hAnsi="宋体" w:cs="宋体"/>
          <w:b/>
          <w:kern w:val="0"/>
          <w:sz w:val="44"/>
          <w:szCs w:val="44"/>
        </w:rPr>
      </w:pPr>
    </w:p>
    <w:p>
      <w:pPr>
        <w:widowControl/>
        <w:jc w:val="center"/>
        <w:rPr>
          <w:rFonts w:ascii="宋体" w:hAnsi="宋体" w:cs="宋体"/>
          <w:b/>
          <w:kern w:val="0"/>
          <w:sz w:val="44"/>
          <w:szCs w:val="44"/>
        </w:rPr>
      </w:pPr>
    </w:p>
    <w:p>
      <w:pPr>
        <w:widowControl/>
        <w:jc w:val="center"/>
        <w:rPr>
          <w:rFonts w:ascii="宋体" w:hAnsi="宋体" w:cs="宋体"/>
          <w:b/>
          <w:kern w:val="0"/>
          <w:sz w:val="44"/>
          <w:szCs w:val="44"/>
        </w:rPr>
      </w:pPr>
      <w:r>
        <w:rPr>
          <w:rFonts w:hint="eastAsia" w:ascii="宋体" w:hAnsi="宋体" w:cs="宋体"/>
          <w:b/>
          <w:kern w:val="0"/>
          <w:sz w:val="44"/>
          <w:szCs w:val="44"/>
        </w:rPr>
        <w:t>孝感市公共资源交易平台管理办法</w:t>
      </w:r>
    </w:p>
    <w:p>
      <w:pPr>
        <w:widowControl/>
        <w:jc w:val="center"/>
        <w:rPr>
          <w:rFonts w:ascii="宋体" w:hAnsi="宋体" w:cs="宋体"/>
          <w:b/>
          <w:kern w:val="0"/>
          <w:sz w:val="32"/>
          <w:szCs w:val="32"/>
        </w:rPr>
      </w:pPr>
    </w:p>
    <w:p>
      <w:pPr>
        <w:pStyle w:val="9"/>
        <w:widowControl/>
        <w:numPr>
          <w:ilvl w:val="0"/>
          <w:numId w:val="1"/>
        </w:numPr>
        <w:ind w:firstLineChars="0"/>
        <w:jc w:val="center"/>
        <w:rPr>
          <w:rFonts w:ascii="宋体" w:hAnsi="宋体" w:cs="宋体"/>
          <w:b/>
          <w:kern w:val="0"/>
          <w:sz w:val="32"/>
          <w:szCs w:val="32"/>
        </w:rPr>
      </w:pPr>
      <w:r>
        <w:rPr>
          <w:rFonts w:hint="eastAsia" w:ascii="宋体" w:hAnsi="宋体" w:cs="宋体"/>
          <w:b/>
          <w:kern w:val="0"/>
          <w:sz w:val="32"/>
          <w:szCs w:val="32"/>
        </w:rPr>
        <w:t>总  则</w:t>
      </w:r>
    </w:p>
    <w:p>
      <w:pPr>
        <w:widowControl/>
        <w:spacing w:line="360" w:lineRule="auto"/>
        <w:rPr>
          <w:rFonts w:ascii="仿宋_GB2312" w:eastAsia="仿宋_GB2312"/>
          <w:color w:val="333333"/>
          <w:sz w:val="32"/>
          <w:szCs w:val="32"/>
        </w:rPr>
      </w:pPr>
      <w:r>
        <w:rPr>
          <w:rFonts w:hint="eastAsia" w:ascii="仿宋_GB2312" w:eastAsia="仿宋_GB2312" w:cs="Arial"/>
          <w:color w:val="000000"/>
          <w:sz w:val="32"/>
          <w:szCs w:val="32"/>
        </w:rPr>
        <w:t xml:space="preserve">    </w:t>
      </w:r>
      <w:r>
        <w:rPr>
          <w:rFonts w:hint="eastAsia" w:ascii="仿宋_GB2312" w:eastAsia="仿宋_GB2312" w:cs="Arial"/>
          <w:b/>
          <w:color w:val="000000"/>
          <w:sz w:val="32"/>
          <w:szCs w:val="32"/>
        </w:rPr>
        <w:t>第</w:t>
      </w:r>
      <w:r>
        <w:rPr>
          <w:rFonts w:hint="eastAsia" w:ascii="仿宋_GB2312" w:eastAsia="仿宋_GB2312" w:cs="宋体"/>
          <w:b/>
          <w:color w:val="333333"/>
          <w:sz w:val="32"/>
          <w:szCs w:val="32"/>
        </w:rPr>
        <w:t>一条</w:t>
      </w:r>
      <w:r>
        <w:rPr>
          <w:rFonts w:hint="eastAsia" w:ascii="仿宋_GB2312" w:hAnsi="宋体" w:eastAsia="仿宋_GB2312"/>
          <w:color w:val="333333"/>
          <w:sz w:val="32"/>
          <w:szCs w:val="32"/>
        </w:rPr>
        <w:t xml:space="preserve"> </w:t>
      </w:r>
      <w:r>
        <w:rPr>
          <w:rFonts w:hint="eastAsia" w:ascii="仿宋_GB2312" w:eastAsia="仿宋_GB2312"/>
          <w:color w:val="333333"/>
          <w:sz w:val="32"/>
          <w:szCs w:val="32"/>
        </w:rPr>
        <w:t>为规范我市公共资源交易平台运行，提高公共资源配置效率和效益，加强对权力运行的监督制约，维护国家利益、社会公共利益和交易当事人的合法权益，根据《公共资源交易平台管理暂行办法》</w:t>
      </w:r>
      <w:r>
        <w:rPr>
          <w:rFonts w:hint="eastAsia" w:ascii="仿宋_GB2312" w:hAnsi="宋体" w:eastAsia="仿宋_GB2312"/>
          <w:color w:val="333333"/>
          <w:sz w:val="32"/>
          <w:szCs w:val="32"/>
        </w:rPr>
        <w:t>(国家发改委等2016年第39号令)、《湖北省公共资源招标投标监督管理条例》、《湖北省公共资源交易平台服务管理细则（试行）》（鄂公共资源交易管委会</w:t>
      </w:r>
      <w:r>
        <w:rPr>
          <w:rFonts w:hint="eastAsia" w:ascii="仿宋_GB2312" w:eastAsia="仿宋_GB2312"/>
          <w:color w:val="333333"/>
          <w:sz w:val="32"/>
          <w:szCs w:val="32"/>
        </w:rPr>
        <w:t>〔2016〕3号）及《孝感市人民政府办公室关于印发&lt;孝感市整合建立统一的公共资源交易平台实施方案&gt;的通知》（孝感政办函〔2016〕35号）文件要求，结合我市实际，制定本办法。</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b/>
          <w:color w:val="333333"/>
          <w:sz w:val="32"/>
          <w:szCs w:val="32"/>
        </w:rPr>
        <w:t>第二条</w:t>
      </w:r>
      <w:r>
        <w:rPr>
          <w:rFonts w:hint="eastAsia" w:ascii="仿宋_GB2312" w:hAnsi="宋体" w:eastAsia="仿宋_GB2312"/>
          <w:color w:val="333333"/>
          <w:sz w:val="32"/>
          <w:szCs w:val="32"/>
        </w:rPr>
        <w:t xml:space="preserve"> 本办法适用于孝感市行政区域内的公共资源交易平台的运行、服务和监督管理。</w:t>
      </w:r>
    </w:p>
    <w:p>
      <w:pPr>
        <w:pStyle w:val="6"/>
        <w:ind w:firstLine="643" w:firstLineChars="200"/>
        <w:rPr>
          <w:rFonts w:ascii="仿宋_GB2312" w:hAnsi="宋体" w:eastAsia="仿宋_GB2312"/>
          <w:color w:val="333333"/>
          <w:sz w:val="32"/>
          <w:szCs w:val="32"/>
        </w:rPr>
      </w:pPr>
      <w:r>
        <w:rPr>
          <w:rFonts w:hint="eastAsia" w:ascii="仿宋_GB2312" w:hAnsi="宋体" w:eastAsia="仿宋_GB2312"/>
          <w:b/>
          <w:color w:val="333333"/>
          <w:sz w:val="32"/>
          <w:szCs w:val="32"/>
        </w:rPr>
        <w:t>第三条</w:t>
      </w:r>
      <w:r>
        <w:rPr>
          <w:rFonts w:hint="eastAsia" w:ascii="仿宋_GB2312" w:hAnsi="宋体" w:eastAsia="仿宋_GB2312"/>
          <w:color w:val="333333"/>
          <w:sz w:val="32"/>
          <w:szCs w:val="32"/>
        </w:rPr>
        <w:t xml:space="preserve"> 公共资源交易平台以“孝感市民之家”为依托，以孝感市公共资源交易电子服务系统为枢纽, 连接公共资源电子交易系统和电子监控系统，实现全市公共资源交易规则统一、公开透明、服务高效、信息共享、监督规范的服务与管理目标。</w:t>
      </w:r>
    </w:p>
    <w:p>
      <w:pPr>
        <w:pStyle w:val="6"/>
        <w:ind w:firstLine="643" w:firstLineChars="200"/>
        <w:rPr>
          <w:rFonts w:ascii="仿宋_GB2312" w:hAnsi="宋体" w:eastAsia="仿宋_GB2312"/>
          <w:color w:val="333333"/>
          <w:sz w:val="32"/>
          <w:szCs w:val="32"/>
        </w:rPr>
      </w:pPr>
      <w:r>
        <w:rPr>
          <w:rFonts w:hint="eastAsia" w:ascii="仿宋_GB2312" w:hAnsi="宋体" w:eastAsia="仿宋_GB2312"/>
          <w:b/>
          <w:color w:val="333333"/>
          <w:sz w:val="32"/>
          <w:szCs w:val="32"/>
        </w:rPr>
        <w:t>第四条</w:t>
      </w:r>
      <w:r>
        <w:rPr>
          <w:rFonts w:hint="eastAsia" w:ascii="仿宋_GB2312" w:hAnsi="宋体" w:eastAsia="仿宋_GB2312"/>
          <w:color w:val="333333"/>
          <w:sz w:val="32"/>
          <w:szCs w:val="32"/>
        </w:rPr>
        <w:t xml:space="preserve"> 市县两级公共资源交易综合监督管理机构负责本行政区域公共资源交易平台的指导协调和监督管理，财政、国土、建设、交通、水利、国资、卫计等行政监督管理部门按照规定的职责分工，加强对公共资源交易活动的监督管理。</w:t>
      </w:r>
    </w:p>
    <w:p>
      <w:pPr>
        <w:pStyle w:val="6"/>
        <w:ind w:firstLine="643" w:firstLineChars="200"/>
        <w:rPr>
          <w:rFonts w:ascii="仿宋_GB2312" w:hAnsi="宋体" w:eastAsia="仿宋_GB2312"/>
          <w:color w:val="333333"/>
          <w:sz w:val="32"/>
          <w:szCs w:val="32"/>
        </w:rPr>
      </w:pPr>
      <w:r>
        <w:rPr>
          <w:rFonts w:hint="eastAsia" w:ascii="仿宋_GB2312" w:hAnsi="宋体" w:eastAsia="仿宋_GB2312"/>
          <w:b/>
          <w:color w:val="333333"/>
          <w:sz w:val="32"/>
          <w:szCs w:val="32"/>
        </w:rPr>
        <w:t>第五条</w:t>
      </w:r>
      <w:r>
        <w:rPr>
          <w:rFonts w:hint="eastAsia" w:ascii="仿宋_GB2312" w:hAnsi="宋体" w:eastAsia="仿宋_GB2312"/>
          <w:color w:val="333333"/>
          <w:sz w:val="32"/>
          <w:szCs w:val="32"/>
        </w:rPr>
        <w:t xml:space="preserve"> 政府采购、土地使用权和矿业权出让、公共医疗卫生机构医疗设备和医用耗材采购，以及农村产权交易等各类交易经办机构整体进驻公共资源交易平台，依法为公共资源交易主体提供服务。各交易经办机构人员接受公共资源交易综合监管机构的统一管理和工作考核。</w:t>
      </w:r>
    </w:p>
    <w:p>
      <w:pPr>
        <w:pStyle w:val="6"/>
        <w:ind w:firstLine="643" w:firstLineChars="200"/>
        <w:rPr>
          <w:rFonts w:ascii="仿宋_GB2312" w:hAnsi="宋体" w:eastAsia="仿宋_GB2312"/>
          <w:color w:val="333333"/>
          <w:sz w:val="32"/>
          <w:szCs w:val="32"/>
        </w:rPr>
      </w:pPr>
      <w:r>
        <w:rPr>
          <w:rFonts w:hint="eastAsia" w:ascii="仿宋_GB2312" w:hAnsi="宋体" w:eastAsia="仿宋_GB2312"/>
          <w:b/>
          <w:color w:val="333333"/>
          <w:sz w:val="32"/>
          <w:szCs w:val="32"/>
        </w:rPr>
        <w:t>第六条</w:t>
      </w:r>
      <w:r>
        <w:rPr>
          <w:rFonts w:hint="eastAsia" w:ascii="仿宋_GB2312" w:hAnsi="宋体" w:eastAsia="仿宋_GB2312"/>
          <w:color w:val="333333"/>
          <w:sz w:val="32"/>
          <w:szCs w:val="32"/>
        </w:rPr>
        <w:t xml:space="preserve"> 孝感市公共资源交易平台加强对分支机构的业务指导和督办，实现交易规则、管理制度、服务标准、信息发布、考核评价“五统一”。</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b/>
          <w:color w:val="333333"/>
          <w:sz w:val="32"/>
          <w:szCs w:val="32"/>
        </w:rPr>
        <w:t>第七条</w:t>
      </w:r>
      <w:r>
        <w:rPr>
          <w:rFonts w:hint="eastAsia" w:ascii="仿宋_GB2312" w:hAnsi="宋体" w:eastAsia="仿宋_GB2312"/>
          <w:color w:val="333333"/>
          <w:sz w:val="32"/>
          <w:szCs w:val="32"/>
        </w:rPr>
        <w:t xml:space="preserve"> 市公共资源交易中心、县（市、区）分中心和其他经过认证的单位，作为公共资源交易平台运行服务机构，负责公共资源交易平台的日常建设、运行和维护，依法依规为公共资源交易活动提供公共服务。</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b/>
          <w:color w:val="333333"/>
          <w:sz w:val="32"/>
          <w:szCs w:val="32"/>
        </w:rPr>
        <w:t>第八条</w:t>
      </w:r>
      <w:r>
        <w:rPr>
          <w:rFonts w:hint="eastAsia" w:ascii="仿宋_GB2312" w:hAnsi="宋体" w:eastAsia="仿宋_GB2312"/>
          <w:color w:val="333333"/>
          <w:sz w:val="32"/>
          <w:szCs w:val="32"/>
        </w:rPr>
        <w:t xml:space="preserve"> 市公共资源交易综合监督管理机构统筹全市公共资源交易平台信息化工作，推进公共资源交易、服务、监管全流程电子化。</w:t>
      </w:r>
    </w:p>
    <w:p>
      <w:pPr>
        <w:widowControl/>
        <w:spacing w:line="360" w:lineRule="auto"/>
        <w:ind w:firstLine="645"/>
        <w:rPr>
          <w:rFonts w:ascii="仿宋_GB2312" w:hAnsi="宋体" w:eastAsia="仿宋_GB2312"/>
          <w:color w:val="333333"/>
          <w:sz w:val="32"/>
          <w:szCs w:val="32"/>
        </w:rPr>
      </w:pPr>
    </w:p>
    <w:p>
      <w:pPr>
        <w:widowControl/>
        <w:jc w:val="center"/>
        <w:rPr>
          <w:rFonts w:ascii="宋体" w:hAnsi="宋体" w:cs="宋体"/>
          <w:b/>
          <w:kern w:val="0"/>
          <w:sz w:val="32"/>
          <w:szCs w:val="32"/>
        </w:rPr>
      </w:pPr>
      <w:r>
        <w:rPr>
          <w:rFonts w:hint="eastAsia" w:ascii="宋体" w:hAnsi="宋体" w:cs="宋体"/>
          <w:b/>
          <w:kern w:val="0"/>
          <w:sz w:val="32"/>
          <w:szCs w:val="32"/>
        </w:rPr>
        <w:t>第二章  平台建设</w:t>
      </w:r>
    </w:p>
    <w:p>
      <w:pPr>
        <w:widowControl/>
        <w:rPr>
          <w:rFonts w:ascii="宋体" w:hAnsi="宋体" w:cs="宋体"/>
          <w:b/>
          <w:kern w:val="0"/>
          <w:sz w:val="32"/>
          <w:szCs w:val="32"/>
        </w:rPr>
      </w:pPr>
      <w:r>
        <w:rPr>
          <w:rFonts w:hint="eastAsia" w:ascii="宋体" w:hAnsi="宋体" w:cs="宋体"/>
          <w:b/>
          <w:kern w:val="0"/>
          <w:sz w:val="32"/>
          <w:szCs w:val="32"/>
        </w:rPr>
        <w:t xml:space="preserve">    </w:t>
      </w:r>
      <w:r>
        <w:rPr>
          <w:rFonts w:hint="eastAsia" w:ascii="仿宋_GB2312" w:hAnsi="宋体" w:eastAsia="仿宋_GB2312"/>
          <w:b/>
          <w:color w:val="333333"/>
          <w:sz w:val="32"/>
          <w:szCs w:val="32"/>
        </w:rPr>
        <w:t>第九条</w:t>
      </w:r>
      <w:r>
        <w:rPr>
          <w:rFonts w:ascii="仿宋_GB2312" w:hAnsi="宋体" w:eastAsia="仿宋_GB2312"/>
          <w:b/>
          <w:color w:val="333333"/>
          <w:sz w:val="32"/>
          <w:szCs w:val="32"/>
        </w:rPr>
        <w:t xml:space="preserve"> </w:t>
      </w:r>
      <w:r>
        <w:rPr>
          <w:rFonts w:hint="eastAsia" w:ascii="仿宋_GB2312" w:hAnsi="宋体" w:eastAsia="仿宋_GB2312"/>
          <w:color w:val="333333"/>
          <w:sz w:val="32"/>
          <w:szCs w:val="32"/>
        </w:rPr>
        <w:t>市公共资源交易综合监督管理机构按照市县一体化的原则，负责建设全市统一的公共资源交易电子服务系统和交易系统，公共资源交易综合监督管理机构和有关行政监督部门负责建设电子监督系统，电子服务系统、交易系统和监督系统应当符合国家相关技术规范。</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b/>
          <w:color w:val="333333"/>
          <w:sz w:val="32"/>
          <w:szCs w:val="32"/>
        </w:rPr>
        <w:t xml:space="preserve">第十条 </w:t>
      </w:r>
      <w:r>
        <w:rPr>
          <w:rFonts w:hint="eastAsia" w:ascii="仿宋_GB2312" w:hAnsi="宋体" w:eastAsia="仿宋_GB2312"/>
          <w:color w:val="333333"/>
          <w:sz w:val="32"/>
          <w:szCs w:val="32"/>
        </w:rPr>
        <w:t>公共资源交易平台要合理划分功能区域，完善功能服务设施。功能区域应当包括办事服务大厅、开标区（拍卖区）、评标区（谈判区）、监督区、办公区等，评标区应当封闭运行。办事服务大厅应当包括服务窗口、查询终端、信息显示屏、专家抽取终端及其它便民设施；开标区应当包括适当数量的开标室（拍卖室）、投影设备、音响设备等设施；评标区（谈判区）应当包括适当数量的评标室（谈判室）、门禁系统、专家物品保管箱、变声语音对讲系统、远程异地评标所需的计算机网络系统和会议视频系统等设施；监督区应当包括适当数量的电子监督机位、数字见证机位、监控显示屏等设施，以及必要的计算机网络系统及设备、监控录像系统及设备等其他设施。</w:t>
      </w:r>
    </w:p>
    <w:p>
      <w:pPr>
        <w:widowControl/>
        <w:spacing w:line="360" w:lineRule="auto"/>
        <w:ind w:firstLine="645"/>
        <w:rPr>
          <w:rFonts w:ascii="仿宋_GB2312" w:hAnsi="宋体" w:eastAsia="仿宋_GB2312"/>
          <w:b/>
          <w:color w:val="333333"/>
          <w:sz w:val="32"/>
          <w:szCs w:val="32"/>
        </w:rPr>
      </w:pPr>
    </w:p>
    <w:p>
      <w:pPr>
        <w:widowControl/>
        <w:jc w:val="center"/>
        <w:rPr>
          <w:rFonts w:ascii="宋体" w:hAnsi="宋体" w:cs="宋体"/>
          <w:b/>
          <w:kern w:val="0"/>
          <w:sz w:val="32"/>
          <w:szCs w:val="32"/>
        </w:rPr>
      </w:pPr>
      <w:r>
        <w:rPr>
          <w:rFonts w:hint="eastAsia" w:ascii="宋体" w:hAnsi="宋体" w:cs="宋体"/>
          <w:b/>
          <w:kern w:val="0"/>
          <w:sz w:val="32"/>
          <w:szCs w:val="32"/>
        </w:rPr>
        <w:t>第三章  平台运行</w:t>
      </w:r>
    </w:p>
    <w:p>
      <w:pPr>
        <w:widowControl/>
        <w:spacing w:line="360" w:lineRule="auto"/>
        <w:rPr>
          <w:rFonts w:ascii="仿宋_GB2312" w:hAnsi="宋体" w:eastAsia="仿宋_GB2312"/>
          <w:color w:val="333333"/>
          <w:sz w:val="32"/>
          <w:szCs w:val="32"/>
        </w:rPr>
      </w:pPr>
      <w:r>
        <w:rPr>
          <w:rFonts w:hint="eastAsia" w:ascii="宋体" w:hAnsi="宋体" w:cs="宋体"/>
          <w:b/>
          <w:kern w:val="0"/>
          <w:sz w:val="32"/>
          <w:szCs w:val="32"/>
        </w:rPr>
        <w:t xml:space="preserve">    </w:t>
      </w:r>
      <w:r>
        <w:rPr>
          <w:rFonts w:hint="eastAsia" w:ascii="仿宋_GB2312" w:hAnsi="宋体" w:eastAsia="仿宋_GB2312"/>
          <w:b/>
          <w:color w:val="333333"/>
          <w:sz w:val="32"/>
          <w:szCs w:val="32"/>
        </w:rPr>
        <w:t>第十一条</w:t>
      </w:r>
      <w:r>
        <w:rPr>
          <w:rFonts w:hint="eastAsia" w:ascii="仿宋_GB2312" w:hAnsi="宋体" w:eastAsia="仿宋_GB2312"/>
          <w:color w:val="333333"/>
          <w:sz w:val="32"/>
          <w:szCs w:val="32"/>
        </w:rPr>
        <w:t xml:space="preserve"> 公共资源交易平台的运行应当遵循相关法律法规，执行国家及省相关部门制定的统一交易规则和本办法的规定。 </w:t>
      </w:r>
    </w:p>
    <w:p>
      <w:pPr>
        <w:pStyle w:val="6"/>
        <w:ind w:firstLine="643" w:firstLineChars="200"/>
        <w:rPr>
          <w:rFonts w:ascii="仿宋_GB2312" w:eastAsia="仿宋_GB2312"/>
          <w:sz w:val="32"/>
          <w:szCs w:val="32"/>
        </w:rPr>
      </w:pPr>
      <w:r>
        <w:rPr>
          <w:rFonts w:hint="eastAsia" w:ascii="仿宋_GB2312" w:hAnsi="宋体" w:eastAsia="仿宋_GB2312"/>
          <w:b/>
          <w:color w:val="333333"/>
          <w:sz w:val="32"/>
          <w:szCs w:val="32"/>
        </w:rPr>
        <w:t>第十二条</w:t>
      </w:r>
      <w:r>
        <w:rPr>
          <w:rFonts w:hint="eastAsia" w:eastAsia="仿宋_GB2312"/>
          <w:sz w:val="32"/>
          <w:szCs w:val="32"/>
        </w:rPr>
        <w:t xml:space="preserve"> </w:t>
      </w:r>
      <w:r>
        <w:rPr>
          <w:rFonts w:hint="eastAsia" w:ascii="仿宋_GB2312" w:eastAsia="仿宋_GB2312"/>
          <w:sz w:val="32"/>
          <w:szCs w:val="32"/>
        </w:rPr>
        <w:t>公共资源交易进场项目实行目录管理。依法必须招</w:t>
      </w:r>
      <w:r>
        <w:rPr>
          <w:rFonts w:hint="eastAsia" w:ascii="仿宋_GB2312" w:hAnsi="宋体" w:eastAsia="仿宋_GB2312"/>
          <w:color w:val="333333"/>
          <w:sz w:val="32"/>
          <w:szCs w:val="32"/>
        </w:rPr>
        <w:t>标（采购）的项目应当进入公</w:t>
      </w:r>
      <w:r>
        <w:rPr>
          <w:rFonts w:hint="eastAsia" w:ascii="仿宋_GB2312" w:eastAsia="仿宋_GB2312"/>
          <w:sz w:val="32"/>
          <w:szCs w:val="32"/>
        </w:rPr>
        <w:t>共资源交易目录管理。市公共资源交易综合监督管理机构负责会同有关行政监督管理部门拟定目录，公开听取意见，报市人民政府批准后施行。</w:t>
      </w:r>
    </w:p>
    <w:p>
      <w:pPr>
        <w:pStyle w:val="6"/>
        <w:ind w:firstLine="640" w:firstLineChars="200"/>
        <w:rPr>
          <w:rFonts w:ascii="仿宋_GB2312" w:hAnsi="宋体" w:eastAsia="仿宋_GB2312"/>
          <w:color w:val="333333"/>
          <w:sz w:val="32"/>
          <w:szCs w:val="32"/>
        </w:rPr>
      </w:pPr>
      <w:r>
        <w:rPr>
          <w:rFonts w:hint="eastAsia" w:ascii="仿宋_GB2312" w:eastAsia="仿宋_GB2312"/>
          <w:sz w:val="32"/>
          <w:szCs w:val="32"/>
        </w:rPr>
        <w:t>列入目录的项目应当进入公共资源交易平台交易，禁止任何形式场外交易。列入目录内的项目原则上纳入项目实施主体或项目属地公共资源交易平台进行交</w:t>
      </w:r>
      <w:r>
        <w:rPr>
          <w:rFonts w:hint="eastAsia" w:ascii="仿宋_GB2312" w:hAnsi="宋体" w:eastAsia="仿宋_GB2312"/>
          <w:color w:val="333333"/>
          <w:sz w:val="32"/>
          <w:szCs w:val="32"/>
        </w:rPr>
        <w:t>易，行业部门有规定的从其规定。目录外的项目，建设单位决定进入平台交易的，参照目录内项目办理相关手续进入平台交易。</w:t>
      </w:r>
    </w:p>
    <w:p>
      <w:pPr>
        <w:widowControl/>
        <w:spacing w:line="360" w:lineRule="auto"/>
        <w:ind w:firstLine="645"/>
        <w:rPr>
          <w:rFonts w:ascii="仿宋_GB2312" w:hAnsi="宋体" w:eastAsia="仿宋_GB2312"/>
          <w:color w:val="333333"/>
          <w:sz w:val="32"/>
          <w:szCs w:val="32"/>
        </w:rPr>
      </w:pPr>
      <w:r>
        <w:rPr>
          <w:rFonts w:hint="eastAsia" w:ascii="仿宋_GB2312" w:eastAsia="仿宋_GB2312"/>
          <w:b/>
          <w:sz w:val="32"/>
          <w:szCs w:val="32"/>
        </w:rPr>
        <w:t>第十三条</w:t>
      </w:r>
      <w:r>
        <w:rPr>
          <w:rFonts w:hint="eastAsia" w:ascii="仿宋_GB2312" w:hAnsi="宋体" w:eastAsia="仿宋_GB2312"/>
          <w:color w:val="333333"/>
          <w:sz w:val="32"/>
          <w:szCs w:val="32"/>
        </w:rPr>
        <w:t xml:space="preserve"> 公共资源交易项目需要评标评审的，项目实施者应依法组建评标评审委员会，所需专家从政府或政府有关部门组建的专家库中随机抽取产生，法律法规另有规定的除外。</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b/>
          <w:color w:val="333333"/>
          <w:sz w:val="32"/>
          <w:szCs w:val="32"/>
        </w:rPr>
        <w:t xml:space="preserve">第十四条 </w:t>
      </w:r>
      <w:r>
        <w:rPr>
          <w:rFonts w:hint="eastAsia" w:ascii="仿宋_GB2312" w:hAnsi="宋体" w:eastAsia="仿宋_GB2312"/>
          <w:color w:val="333333"/>
          <w:sz w:val="32"/>
          <w:szCs w:val="32"/>
        </w:rPr>
        <w:t>市公共资源交易电子服务系统应当实现</w:t>
      </w:r>
      <w:r>
        <w:rPr>
          <w:rFonts w:ascii="仿宋_GB2312" w:hAnsi="宋体" w:eastAsia="仿宋_GB2312"/>
          <w:color w:val="333333"/>
          <w:sz w:val="32"/>
          <w:szCs w:val="32"/>
        </w:rPr>
        <w:t>CA</w:t>
      </w:r>
      <w:r>
        <w:rPr>
          <w:rFonts w:hint="eastAsia" w:ascii="仿宋_GB2312" w:hAnsi="宋体" w:eastAsia="仿宋_GB2312"/>
          <w:color w:val="333333"/>
          <w:sz w:val="32"/>
          <w:szCs w:val="32"/>
        </w:rPr>
        <w:t>数字证书互认，实现市场主体一地办理，全市通用。</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b/>
          <w:color w:val="333333"/>
          <w:sz w:val="32"/>
          <w:szCs w:val="32"/>
        </w:rPr>
        <w:t xml:space="preserve">第十五条 </w:t>
      </w:r>
      <w:r>
        <w:rPr>
          <w:rFonts w:hint="eastAsia" w:ascii="仿宋_GB2312" w:hAnsi="宋体" w:eastAsia="仿宋_GB2312"/>
          <w:color w:val="333333"/>
          <w:sz w:val="32"/>
          <w:szCs w:val="32"/>
        </w:rPr>
        <w:t>公共资源交易平台建立健全网络信息安全制度和信息安全保障体系，充分利用网络隔离、身份认证、电子签章、数据加密等技术措施，确保平台平稳运行。</w:t>
      </w:r>
    </w:p>
    <w:p>
      <w:pPr>
        <w:widowControl/>
        <w:spacing w:line="360" w:lineRule="auto"/>
        <w:ind w:firstLine="645"/>
        <w:rPr>
          <w:rFonts w:ascii="仿宋_GB2312" w:hAnsi="宋体" w:eastAsia="仿宋_GB2312"/>
          <w:color w:val="333333"/>
          <w:sz w:val="32"/>
          <w:szCs w:val="32"/>
        </w:rPr>
      </w:pPr>
    </w:p>
    <w:p>
      <w:pPr>
        <w:widowControl/>
        <w:jc w:val="center"/>
        <w:rPr>
          <w:rFonts w:ascii="宋体" w:hAnsi="宋体" w:cs="宋体"/>
          <w:b/>
          <w:kern w:val="0"/>
          <w:sz w:val="32"/>
          <w:szCs w:val="32"/>
        </w:rPr>
      </w:pPr>
      <w:r>
        <w:rPr>
          <w:rFonts w:hint="eastAsia" w:ascii="宋体" w:hAnsi="宋体" w:cs="宋体"/>
          <w:b/>
          <w:kern w:val="0"/>
          <w:sz w:val="32"/>
          <w:szCs w:val="32"/>
        </w:rPr>
        <w:t>第四章  平台服务</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b/>
          <w:color w:val="333333"/>
          <w:sz w:val="32"/>
          <w:szCs w:val="32"/>
        </w:rPr>
        <w:t xml:space="preserve">第十六条 </w:t>
      </w:r>
      <w:r>
        <w:rPr>
          <w:rFonts w:hint="eastAsia" w:ascii="仿宋_GB2312" w:hAnsi="宋体" w:eastAsia="仿宋_GB2312"/>
          <w:color w:val="333333"/>
          <w:sz w:val="32"/>
          <w:szCs w:val="32"/>
        </w:rPr>
        <w:t>公共资源交易平台建立“一楼式办公、一窗式受理、一站式服务”工作机制，优化办事流程，实行标准化服务，建立首问责任制、一次告知制、限时办结制等制度规范。应当提供如下综合服务：</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color w:val="333333"/>
          <w:sz w:val="32"/>
          <w:szCs w:val="32"/>
        </w:rPr>
        <w:t>(一)项目受理和场所安排。公共资源交易平台按照业务交易规则和流程，对具备条件的项目办理受理手续，完成交易场所的安排和确定。</w:t>
      </w:r>
    </w:p>
    <w:p>
      <w:pPr>
        <w:pStyle w:val="6"/>
        <w:ind w:firstLine="640" w:firstLineChars="200"/>
        <w:rPr>
          <w:rFonts w:ascii="仿宋_GB2312" w:eastAsia="仿宋_GB2312"/>
          <w:sz w:val="32"/>
          <w:szCs w:val="32"/>
        </w:rPr>
      </w:pPr>
      <w:r>
        <w:rPr>
          <w:rFonts w:hint="eastAsia" w:ascii="仿宋_GB2312" w:hAnsi="宋体" w:eastAsia="仿宋_GB2312"/>
          <w:color w:val="333333"/>
          <w:sz w:val="32"/>
          <w:szCs w:val="32"/>
        </w:rPr>
        <w:t>（二)交易信息服务。公共资源交易平台要依法</w:t>
      </w:r>
      <w:r>
        <w:rPr>
          <w:rFonts w:hint="eastAsia" w:ascii="仿宋_GB2312" w:eastAsia="仿宋_GB2312"/>
          <w:sz w:val="32"/>
          <w:szCs w:val="32"/>
        </w:rPr>
        <w:t>依规及时向社会公开交易公告、交易过程信息、成交信息、履约信息等，涉及国家秘密、商业秘密、个人隐私以及其他依法应当保密的信息除外。</w:t>
      </w:r>
    </w:p>
    <w:p>
      <w:pPr>
        <w:pStyle w:val="6"/>
        <w:ind w:firstLine="640" w:firstLineChars="200"/>
        <w:rPr>
          <w:rFonts w:ascii="仿宋_GB2312" w:eastAsia="仿宋_GB2312"/>
          <w:sz w:val="32"/>
          <w:szCs w:val="32"/>
        </w:rPr>
      </w:pPr>
      <w:r>
        <w:rPr>
          <w:rFonts w:hint="eastAsia" w:ascii="仿宋_GB2312" w:eastAsia="仿宋_GB2312"/>
          <w:sz w:val="32"/>
          <w:szCs w:val="32"/>
        </w:rPr>
        <w:t>(三)数据统计。公共资源交易平台应做好对公共资源交易数据的存储共享、统计分析、综合利用和风险预警监测工作。</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color w:val="333333"/>
          <w:sz w:val="32"/>
          <w:szCs w:val="32"/>
        </w:rPr>
        <w:t>(四)专家抽取服务。公共资源交易平台依法依规为公共资源交易项目的实施主体或者其委托的中介机构提供专家抽取服务，组织</w:t>
      </w:r>
      <w:r>
        <w:rPr>
          <w:rFonts w:hint="eastAsia" w:ascii="仿宋_GB2312" w:eastAsia="仿宋_GB2312"/>
          <w:sz w:val="32"/>
          <w:szCs w:val="32"/>
        </w:rPr>
        <w:t>从政府或政府有关部门组建的专家库中随</w:t>
      </w:r>
      <w:r>
        <w:rPr>
          <w:rFonts w:hint="eastAsia" w:ascii="仿宋_GB2312" w:hAnsi="宋体" w:eastAsia="仿宋_GB2312"/>
          <w:color w:val="333333"/>
          <w:sz w:val="32"/>
          <w:szCs w:val="32"/>
        </w:rPr>
        <w:t>机抽取评标评审专家，特殊情况按相关规定办理。</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color w:val="333333"/>
          <w:sz w:val="32"/>
          <w:szCs w:val="32"/>
        </w:rPr>
        <w:t>(五)档案服务。平台运行服务机构负责收集整理归档交易、服务电子及纸质文件资料和音像资料，并按规定期限保存，严格遵守保密工作规定，依法提供查询服务。</w:t>
      </w:r>
    </w:p>
    <w:p>
      <w:pPr>
        <w:widowControl/>
        <w:spacing w:line="360" w:lineRule="auto"/>
        <w:ind w:firstLine="646"/>
        <w:rPr>
          <w:rFonts w:ascii="仿宋_GB2312" w:hAnsi="宋体" w:eastAsia="仿宋_GB2312"/>
          <w:color w:val="333333"/>
          <w:sz w:val="32"/>
          <w:szCs w:val="32"/>
        </w:rPr>
      </w:pPr>
      <w:r>
        <w:rPr>
          <w:rFonts w:hint="eastAsia" w:ascii="仿宋_GB2312" w:hAnsi="宋体" w:eastAsia="仿宋_GB2312"/>
          <w:color w:val="333333"/>
          <w:sz w:val="32"/>
          <w:szCs w:val="32"/>
        </w:rPr>
        <w:t>(六)交易保证金服务。根据工作需要，各级公共资源交易平台可受招标人委托代收投标保证金，应严格按照相关法律法规规定，进行保证金收取、退还及相关业务。</w:t>
      </w:r>
    </w:p>
    <w:p>
      <w:pPr>
        <w:widowControl/>
        <w:spacing w:line="360" w:lineRule="auto"/>
        <w:ind w:firstLine="646"/>
        <w:rPr>
          <w:rFonts w:ascii="仿宋_GB2312" w:hAnsi="宋体" w:eastAsia="仿宋_GB2312"/>
          <w:color w:val="333333"/>
          <w:sz w:val="32"/>
          <w:szCs w:val="32"/>
        </w:rPr>
      </w:pPr>
      <w:r>
        <w:rPr>
          <w:rFonts w:hint="eastAsia" w:ascii="仿宋_GB2312" w:hAnsi="宋体" w:eastAsia="仿宋_GB2312"/>
          <w:b/>
          <w:color w:val="333333"/>
          <w:sz w:val="32"/>
          <w:szCs w:val="32"/>
        </w:rPr>
        <w:t>第十七条</w:t>
      </w:r>
      <w:r>
        <w:rPr>
          <w:rFonts w:hint="eastAsia" w:ascii="仿宋_GB2312" w:hAnsi="宋体" w:eastAsia="仿宋_GB2312"/>
          <w:color w:val="333333"/>
          <w:sz w:val="32"/>
          <w:szCs w:val="32"/>
        </w:rPr>
        <w:t xml:space="preserve"> 公共资源交易平台应当网上公开服务内容、服务流程和服务标准。明确专人负责向市场主体提供有关</w:t>
      </w:r>
    </w:p>
    <w:p>
      <w:pPr>
        <w:widowControl/>
        <w:spacing w:line="360" w:lineRule="auto"/>
        <w:rPr>
          <w:rFonts w:ascii="仿宋_GB2312" w:hAnsi="宋体" w:eastAsia="仿宋_GB2312"/>
          <w:color w:val="333333"/>
          <w:sz w:val="32"/>
          <w:szCs w:val="32"/>
        </w:rPr>
      </w:pPr>
      <w:r>
        <w:rPr>
          <w:rFonts w:hint="eastAsia" w:ascii="仿宋_GB2312" w:hAnsi="宋体" w:eastAsia="仿宋_GB2312"/>
          <w:color w:val="333333"/>
          <w:sz w:val="32"/>
          <w:szCs w:val="32"/>
        </w:rPr>
        <w:t>交易流程、服务事项和电子交易技术等方面的咨询服务。</w:t>
      </w:r>
    </w:p>
    <w:p>
      <w:pPr>
        <w:widowControl/>
        <w:spacing w:line="360" w:lineRule="auto"/>
        <w:ind w:firstLine="646"/>
        <w:rPr>
          <w:rFonts w:ascii="仿宋_GB2312" w:hAnsi="宋体" w:eastAsia="仿宋_GB2312"/>
          <w:color w:val="333333"/>
          <w:sz w:val="32"/>
          <w:szCs w:val="32"/>
        </w:rPr>
      </w:pPr>
      <w:r>
        <w:rPr>
          <w:rFonts w:hint="eastAsia" w:ascii="仿宋_GB2312" w:hAnsi="宋体" w:eastAsia="仿宋_GB2312"/>
          <w:b/>
          <w:color w:val="333333"/>
          <w:sz w:val="32"/>
          <w:szCs w:val="32"/>
        </w:rPr>
        <w:t xml:space="preserve">第十八条 </w:t>
      </w:r>
      <w:r>
        <w:rPr>
          <w:rFonts w:hint="eastAsia" w:ascii="仿宋_GB2312" w:hAnsi="宋体" w:eastAsia="仿宋_GB2312"/>
          <w:color w:val="333333"/>
          <w:sz w:val="32"/>
          <w:szCs w:val="32"/>
        </w:rPr>
        <w:t>公共资源交易平台应当实现远程异地评标功能。抽取评标评审专家时应按照就近原则确定公共资源交易中心，作为评标评审地点。</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b/>
          <w:color w:val="333333"/>
          <w:sz w:val="32"/>
          <w:szCs w:val="32"/>
        </w:rPr>
        <w:t>第十九条</w:t>
      </w:r>
      <w:r>
        <w:rPr>
          <w:rFonts w:hint="eastAsia" w:ascii="仿宋_GB2312" w:hAnsi="宋体" w:eastAsia="仿宋_GB2312"/>
          <w:color w:val="333333"/>
          <w:sz w:val="32"/>
          <w:szCs w:val="32"/>
        </w:rPr>
        <w:t xml:space="preserve"> 公共资源交易平台运行服务机构提供公共服务确需收费的，不得以营利为目的。其收费标准按照省市物价部门相关规定执行。属于行政事业性收费的，按照本级政府非税收入管理的有关规定执行。</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b/>
          <w:color w:val="333333"/>
          <w:sz w:val="32"/>
          <w:szCs w:val="32"/>
        </w:rPr>
        <w:t>第二十条</w:t>
      </w:r>
      <w:r>
        <w:rPr>
          <w:rFonts w:hint="eastAsia" w:ascii="仿宋_GB2312" w:hAnsi="宋体" w:eastAsia="仿宋_GB2312"/>
          <w:color w:val="333333"/>
          <w:sz w:val="32"/>
          <w:szCs w:val="32"/>
        </w:rPr>
        <w:t xml:space="preserve"> 公共资源交易平台运行服务机构及其工作人员不得从事以下活动： </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color w:val="333333"/>
          <w:sz w:val="32"/>
          <w:szCs w:val="32"/>
        </w:rPr>
        <w:t>（一</w:t>
      </w:r>
      <w:r>
        <w:rPr>
          <w:rFonts w:ascii="仿宋_GB2312" w:hAnsi="宋体" w:eastAsia="仿宋_GB2312"/>
          <w:color w:val="333333"/>
          <w:sz w:val="32"/>
          <w:szCs w:val="32"/>
        </w:rPr>
        <w:t>）</w:t>
      </w:r>
      <w:r>
        <w:rPr>
          <w:rFonts w:hint="eastAsia" w:ascii="仿宋_GB2312" w:hAnsi="宋体" w:eastAsia="仿宋_GB2312"/>
          <w:color w:val="333333"/>
          <w:sz w:val="32"/>
          <w:szCs w:val="32"/>
        </w:rPr>
        <w:t xml:space="preserve">行使任何审批、备案、监管、处罚等行政监督管理职能； </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color w:val="333333"/>
          <w:sz w:val="32"/>
          <w:szCs w:val="32"/>
        </w:rPr>
        <w:t xml:space="preserve">（二）违法从事或强制指定招标、拍卖、政府采购代理、工程造价等中介服务； </w:t>
      </w:r>
    </w:p>
    <w:p>
      <w:pPr>
        <w:pStyle w:val="6"/>
        <w:ind w:firstLine="640" w:firstLineChars="200"/>
        <w:rPr>
          <w:rFonts w:ascii="仿宋_GB2312" w:hAnsi="宋体" w:eastAsia="仿宋_GB2312"/>
          <w:color w:val="333333"/>
          <w:sz w:val="32"/>
          <w:szCs w:val="32"/>
        </w:rPr>
      </w:pPr>
      <w:r>
        <w:rPr>
          <w:rFonts w:hint="eastAsia" w:ascii="仿宋_GB2312" w:hAnsi="宋体" w:eastAsia="仿宋_GB2312"/>
          <w:color w:val="333333"/>
          <w:sz w:val="32"/>
          <w:szCs w:val="32"/>
        </w:rPr>
        <w:t xml:space="preserve">（三）强制非公共资源交易项目进入平台交易； </w:t>
      </w:r>
    </w:p>
    <w:p>
      <w:pPr>
        <w:pStyle w:val="6"/>
        <w:ind w:firstLine="640" w:firstLineChars="200"/>
        <w:rPr>
          <w:rFonts w:ascii="仿宋_GB2312" w:hAnsi="宋体" w:eastAsia="仿宋_GB2312"/>
          <w:color w:val="333333"/>
          <w:sz w:val="32"/>
          <w:szCs w:val="32"/>
        </w:rPr>
      </w:pPr>
      <w:r>
        <w:rPr>
          <w:rFonts w:hint="eastAsia" w:ascii="仿宋_GB2312" w:hAnsi="宋体" w:eastAsia="仿宋_GB2312"/>
          <w:color w:val="333333"/>
          <w:sz w:val="32"/>
          <w:szCs w:val="32"/>
        </w:rPr>
        <w:t>（四）泄露公共资源交易中应当保密的各类信息；</w:t>
      </w:r>
    </w:p>
    <w:p>
      <w:pPr>
        <w:pStyle w:val="6"/>
        <w:ind w:firstLine="640" w:firstLineChars="200"/>
        <w:rPr>
          <w:rFonts w:ascii="仿宋_GB2312" w:hAnsi="宋体" w:eastAsia="仿宋_GB2312"/>
          <w:color w:val="333333"/>
          <w:sz w:val="32"/>
          <w:szCs w:val="32"/>
        </w:rPr>
      </w:pPr>
      <w:r>
        <w:rPr>
          <w:rFonts w:hint="eastAsia" w:ascii="仿宋_GB2312" w:hAnsi="宋体" w:eastAsia="仿宋_GB2312"/>
          <w:color w:val="333333"/>
          <w:sz w:val="32"/>
          <w:szCs w:val="32"/>
        </w:rPr>
        <w:t>（五）干涉市场主体选择依法建设和运行的公共资源电子交易系统；</w:t>
      </w:r>
      <w:r>
        <w:rPr>
          <w:rFonts w:ascii="仿宋_GB2312" w:hAnsi="宋体" w:eastAsia="仿宋_GB2312"/>
          <w:color w:val="333333"/>
          <w:sz w:val="32"/>
          <w:szCs w:val="32"/>
        </w:rPr>
        <w:t xml:space="preserve"> </w:t>
      </w:r>
    </w:p>
    <w:p>
      <w:pPr>
        <w:pStyle w:val="6"/>
        <w:ind w:firstLine="640" w:firstLineChars="200"/>
        <w:rPr>
          <w:rFonts w:ascii="仿宋_GB2312" w:hAnsi="宋体" w:eastAsia="仿宋_GB2312"/>
          <w:color w:val="333333"/>
          <w:sz w:val="32"/>
          <w:szCs w:val="32"/>
        </w:rPr>
      </w:pPr>
      <w:r>
        <w:rPr>
          <w:rFonts w:hint="eastAsia" w:ascii="仿宋_GB2312" w:hAnsi="宋体" w:eastAsia="仿宋_GB2312"/>
          <w:color w:val="333333"/>
          <w:sz w:val="32"/>
          <w:szCs w:val="32"/>
        </w:rPr>
        <w:t>（六）非法扣押企业和人员的相关证照资料；</w:t>
      </w:r>
    </w:p>
    <w:p>
      <w:pPr>
        <w:pStyle w:val="6"/>
        <w:ind w:firstLine="640" w:firstLineChars="200"/>
        <w:rPr>
          <w:rFonts w:ascii="仿宋_GB2312" w:hAnsi="宋体" w:eastAsia="仿宋_GB2312"/>
          <w:color w:val="333333"/>
          <w:sz w:val="32"/>
          <w:szCs w:val="32"/>
        </w:rPr>
      </w:pPr>
      <w:r>
        <w:rPr>
          <w:rFonts w:hint="eastAsia" w:ascii="仿宋_GB2312" w:hAnsi="宋体" w:eastAsia="仿宋_GB2312"/>
          <w:color w:val="333333"/>
          <w:sz w:val="32"/>
          <w:szCs w:val="32"/>
        </w:rPr>
        <w:t>（七）通过设置注册登记、设立分支机构、资质验证、投标（竞买）许可、强制担保等限制性条件阻碍或者排斥其他地区市场主体进入本地区公共资源交易市场；</w:t>
      </w:r>
    </w:p>
    <w:p>
      <w:pPr>
        <w:pStyle w:val="6"/>
        <w:ind w:firstLine="640" w:firstLineChars="200"/>
        <w:rPr>
          <w:rFonts w:ascii="仿宋_GB2312" w:hAnsi="宋体" w:eastAsia="仿宋_GB2312"/>
          <w:color w:val="333333"/>
          <w:sz w:val="32"/>
          <w:szCs w:val="32"/>
        </w:rPr>
      </w:pPr>
      <w:r>
        <w:rPr>
          <w:rFonts w:hint="eastAsia" w:ascii="仿宋_GB2312" w:hAnsi="宋体" w:eastAsia="仿宋_GB2312"/>
          <w:color w:val="333333"/>
          <w:sz w:val="32"/>
          <w:szCs w:val="32"/>
        </w:rPr>
        <w:t>（八）违法要求企业法定代表人到场办理相关手续；</w:t>
      </w:r>
    </w:p>
    <w:p>
      <w:pPr>
        <w:pStyle w:val="6"/>
        <w:ind w:firstLine="640" w:firstLineChars="200"/>
        <w:rPr>
          <w:rFonts w:ascii="仿宋_GB2312" w:hAnsi="宋体" w:eastAsia="仿宋_GB2312"/>
          <w:color w:val="333333"/>
          <w:sz w:val="32"/>
          <w:szCs w:val="32"/>
        </w:rPr>
      </w:pPr>
      <w:r>
        <w:rPr>
          <w:rFonts w:hint="eastAsia" w:ascii="仿宋_GB2312" w:hAnsi="宋体" w:eastAsia="仿宋_GB2312"/>
          <w:color w:val="333333"/>
          <w:sz w:val="32"/>
          <w:szCs w:val="32"/>
        </w:rPr>
        <w:t>（九）其他违反法律法规规定的情形。</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color w:val="333333"/>
          <w:sz w:val="32"/>
          <w:szCs w:val="32"/>
        </w:rPr>
        <w:t> </w:t>
      </w:r>
      <w:r>
        <w:rPr>
          <w:rFonts w:hint="eastAsia" w:ascii="仿宋_GB2312" w:hAnsi="宋体" w:eastAsia="仿宋_GB2312"/>
          <w:b/>
          <w:color w:val="333333"/>
          <w:sz w:val="32"/>
          <w:szCs w:val="32"/>
        </w:rPr>
        <w:t>第二十一条</w:t>
      </w:r>
      <w:r>
        <w:rPr>
          <w:rFonts w:hint="eastAsia" w:ascii="仿宋_GB2312" w:hAnsi="宋体" w:eastAsia="仿宋_GB2312"/>
          <w:color w:val="333333"/>
          <w:sz w:val="32"/>
          <w:szCs w:val="32"/>
        </w:rPr>
        <w:t xml:space="preserve"> 平台运行服务机构发现公共资源交易活动中有违法违规行为的，应当及时向公共资源交易综合监督管理机构和有关行政监督管理部门报告，并配合调查处理。</w:t>
      </w:r>
    </w:p>
    <w:p>
      <w:pPr>
        <w:widowControl/>
        <w:spacing w:line="360" w:lineRule="auto"/>
        <w:ind w:firstLine="645"/>
        <w:rPr>
          <w:rFonts w:ascii="仿宋_GB2312" w:hAnsi="宋体" w:eastAsia="仿宋_GB2312"/>
          <w:color w:val="333333"/>
          <w:sz w:val="32"/>
          <w:szCs w:val="32"/>
        </w:rPr>
      </w:pPr>
    </w:p>
    <w:p>
      <w:pPr>
        <w:widowControl/>
        <w:jc w:val="center"/>
        <w:rPr>
          <w:rFonts w:ascii="宋体" w:hAnsi="宋体" w:cs="宋体"/>
          <w:b/>
          <w:kern w:val="0"/>
          <w:sz w:val="32"/>
          <w:szCs w:val="32"/>
        </w:rPr>
      </w:pPr>
      <w:r>
        <w:rPr>
          <w:rFonts w:hint="eastAsia" w:ascii="宋体" w:hAnsi="宋体" w:cs="宋体"/>
          <w:b/>
          <w:kern w:val="0"/>
          <w:sz w:val="32"/>
          <w:szCs w:val="32"/>
        </w:rPr>
        <w:t>第五章  信息资源共享</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b/>
          <w:color w:val="333333"/>
          <w:sz w:val="32"/>
          <w:szCs w:val="32"/>
        </w:rPr>
        <w:t>第二十二条</w:t>
      </w:r>
      <w:r>
        <w:rPr>
          <w:rFonts w:hint="eastAsia" w:ascii="仿宋_GB2312" w:hAnsi="宋体" w:eastAsia="仿宋_GB2312"/>
          <w:color w:val="333333"/>
          <w:sz w:val="32"/>
          <w:szCs w:val="32"/>
        </w:rPr>
        <w:t xml:space="preserve"> 公共资源交易综合监督管理机构应当会同有关行政监督管理部门建立公共资源交易信息资源共享制度，明确部门责任分工，畅通信息资源汇集渠道，促进信息资源共享共用。</w:t>
      </w:r>
    </w:p>
    <w:p>
      <w:pPr>
        <w:widowControl/>
        <w:spacing w:line="360" w:lineRule="auto"/>
        <w:ind w:firstLine="645"/>
        <w:rPr>
          <w:rFonts w:ascii="仿宋_GB2312" w:hAnsi="宋体" w:eastAsia="仿宋_GB2312"/>
          <w:b/>
          <w:color w:val="FF0000"/>
          <w:sz w:val="32"/>
          <w:szCs w:val="32"/>
        </w:rPr>
      </w:pPr>
      <w:r>
        <w:rPr>
          <w:rFonts w:hint="eastAsia" w:ascii="仿宋_GB2312" w:hAnsi="宋体" w:eastAsia="仿宋_GB2312"/>
          <w:b/>
          <w:color w:val="333333"/>
          <w:sz w:val="32"/>
          <w:szCs w:val="32"/>
        </w:rPr>
        <w:t>第二十三条</w:t>
      </w:r>
      <w:r>
        <w:rPr>
          <w:rFonts w:hint="eastAsia" w:ascii="仿宋_GB2312" w:hAnsi="宋体" w:eastAsia="仿宋_GB2312"/>
          <w:color w:val="333333"/>
          <w:sz w:val="32"/>
          <w:szCs w:val="32"/>
        </w:rPr>
        <w:t xml:space="preserve"> </w:t>
      </w:r>
      <w:r>
        <w:rPr>
          <w:rFonts w:hint="eastAsia" w:ascii="仿宋_GB2312" w:eastAsia="仿宋_GB2312"/>
          <w:sz w:val="32"/>
          <w:szCs w:val="32"/>
        </w:rPr>
        <w:t>公共资源交易综合监督管理机构、有关行政监督管理部门应当将公共资源交易当事人的资质资格、信用奖惩和违法违规处罚等信息，自作出行政决定之日起7个工作日内上网公开，并通过相关电子监管系统交换至公共资源交易电子服务系统。</w:t>
      </w:r>
    </w:p>
    <w:p>
      <w:pPr>
        <w:pStyle w:val="6"/>
        <w:ind w:firstLine="643" w:firstLineChars="200"/>
        <w:rPr>
          <w:rFonts w:ascii="仿宋_GB2312" w:hAnsi="宋体" w:eastAsia="仿宋_GB2312"/>
          <w:b/>
          <w:color w:val="FF0000"/>
          <w:sz w:val="32"/>
          <w:szCs w:val="32"/>
        </w:rPr>
      </w:pPr>
      <w:r>
        <w:rPr>
          <w:rFonts w:hint="eastAsia" w:ascii="仿宋_GB2312" w:eastAsia="仿宋_GB2312"/>
          <w:b/>
          <w:sz w:val="32"/>
          <w:szCs w:val="32"/>
        </w:rPr>
        <w:t>第二十四条</w:t>
      </w:r>
      <w:r>
        <w:rPr>
          <w:rFonts w:hint="eastAsia" w:ascii="仿宋_GB2312" w:eastAsia="仿宋_GB2312"/>
          <w:sz w:val="32"/>
          <w:szCs w:val="32"/>
        </w:rPr>
        <w:t xml:space="preserve"> </w:t>
      </w:r>
      <w:r>
        <w:rPr>
          <w:rFonts w:ascii="仿宋_GB2312" w:hAnsi="宋体" w:eastAsia="仿宋_GB2312"/>
          <w:color w:val="333333"/>
          <w:sz w:val="32"/>
          <w:szCs w:val="32"/>
        </w:rPr>
        <w:t>公共资源交易平台应当依托社会信用代码，记录市场主体和专家</w:t>
      </w:r>
      <w:r>
        <w:rPr>
          <w:rFonts w:hint="eastAsia" w:ascii="仿宋_GB2312" w:hAnsi="宋体" w:eastAsia="仿宋_GB2312"/>
          <w:color w:val="333333"/>
          <w:sz w:val="32"/>
          <w:szCs w:val="32"/>
        </w:rPr>
        <w:t>在</w:t>
      </w:r>
      <w:r>
        <w:rPr>
          <w:rFonts w:ascii="仿宋_GB2312" w:hAnsi="宋体" w:eastAsia="仿宋_GB2312"/>
          <w:color w:val="333333"/>
          <w:sz w:val="32"/>
          <w:szCs w:val="32"/>
        </w:rPr>
        <w:t>公共资源交易过程中产生的信用信息，并通过公共资源交易</w:t>
      </w:r>
      <w:r>
        <w:rPr>
          <w:rFonts w:hint="eastAsia" w:ascii="仿宋_GB2312" w:hAnsi="宋体" w:eastAsia="仿宋_GB2312"/>
          <w:color w:val="333333"/>
          <w:sz w:val="32"/>
          <w:szCs w:val="32"/>
        </w:rPr>
        <w:t>平台</w:t>
      </w:r>
      <w:r>
        <w:rPr>
          <w:rFonts w:ascii="仿宋_GB2312" w:hAnsi="宋体" w:eastAsia="仿宋_GB2312"/>
          <w:color w:val="333333"/>
          <w:sz w:val="32"/>
          <w:szCs w:val="32"/>
        </w:rPr>
        <w:t>实现信用信息交换共享和动态更新。</w:t>
      </w:r>
    </w:p>
    <w:p>
      <w:pPr>
        <w:pStyle w:val="6"/>
        <w:ind w:firstLine="643" w:firstLineChars="200"/>
        <w:rPr>
          <w:rFonts w:ascii="仿宋_GB2312" w:hAnsi="宋体" w:eastAsia="仿宋_GB2312"/>
          <w:b/>
          <w:color w:val="FF0000"/>
          <w:sz w:val="32"/>
          <w:szCs w:val="32"/>
        </w:rPr>
      </w:pPr>
      <w:r>
        <w:rPr>
          <w:rFonts w:hint="eastAsia" w:ascii="仿宋_GB2312" w:eastAsia="仿宋_GB2312"/>
          <w:b/>
          <w:sz w:val="32"/>
          <w:szCs w:val="32"/>
        </w:rPr>
        <w:t>第二十五条</w:t>
      </w:r>
      <w:r>
        <w:rPr>
          <w:rFonts w:hint="eastAsia" w:ascii="仿宋_GB2312" w:eastAsia="仿宋_GB2312"/>
          <w:sz w:val="32"/>
          <w:szCs w:val="32"/>
        </w:rPr>
        <w:t xml:space="preserve"> 市公共资源交易平台电子服务系统应与省公共资源交易平台电子服务系统、市信用信息服务平台系统对接，实现信用资源交换共享。</w:t>
      </w:r>
    </w:p>
    <w:p>
      <w:pPr>
        <w:pStyle w:val="6"/>
        <w:ind w:firstLine="643" w:firstLineChars="200"/>
        <w:rPr>
          <w:rFonts w:ascii="仿宋_GB2312" w:hAnsi="宋体" w:eastAsia="仿宋_GB2312"/>
          <w:color w:val="333333"/>
          <w:sz w:val="32"/>
          <w:szCs w:val="32"/>
        </w:rPr>
      </w:pPr>
      <w:r>
        <w:rPr>
          <w:rFonts w:hint="eastAsia" w:ascii="仿宋_GB2312" w:eastAsia="仿宋_GB2312"/>
          <w:b/>
          <w:sz w:val="32"/>
          <w:szCs w:val="32"/>
        </w:rPr>
        <w:t>第二十六条</w:t>
      </w:r>
      <w:r>
        <w:rPr>
          <w:rFonts w:hint="eastAsia" w:ascii="仿宋_GB2312" w:eastAsia="仿宋_GB2312"/>
          <w:sz w:val="32"/>
          <w:szCs w:val="32"/>
        </w:rPr>
        <w:t xml:space="preserve"> 市评标评审专家库应当整合汇集各有关行政监督部门管理的评标评审专家库的专家资源信息，供全市公共资源交易项目评标评审使用，实现专家资源共享。</w:t>
      </w:r>
    </w:p>
    <w:p>
      <w:pPr>
        <w:pStyle w:val="6"/>
        <w:ind w:firstLine="643" w:firstLineChars="200"/>
        <w:rPr>
          <w:rFonts w:ascii="仿宋_GB2312" w:eastAsia="仿宋_GB2312"/>
          <w:b/>
          <w:sz w:val="32"/>
          <w:szCs w:val="32"/>
        </w:rPr>
      </w:pPr>
      <w:r>
        <w:rPr>
          <w:rFonts w:hint="eastAsia" w:ascii="仿宋_GB2312" w:eastAsia="仿宋_GB2312"/>
          <w:b/>
          <w:sz w:val="32"/>
          <w:szCs w:val="32"/>
        </w:rPr>
        <w:t>第二十七条</w:t>
      </w:r>
      <w:r>
        <w:rPr>
          <w:rFonts w:hint="eastAsia" w:ascii="仿宋_GB2312" w:eastAsia="仿宋_GB2312"/>
          <w:sz w:val="32"/>
          <w:szCs w:val="32"/>
        </w:rPr>
        <w:t xml:space="preserve"> 市场主体已经在公共资源交易平台系统登记注册，并通过公共资源交易平台实现信息共享，公共资源交易综合监督管理机构、有关行政监督管理部门和公共资源交易平台运行服务机构不得强制要求其重复登记、备案和验证。</w:t>
      </w:r>
    </w:p>
    <w:p>
      <w:pPr>
        <w:pStyle w:val="6"/>
        <w:ind w:firstLine="643" w:firstLineChars="200"/>
        <w:rPr>
          <w:rFonts w:ascii="仿宋_GB2312" w:eastAsia="仿宋_GB2312"/>
          <w:b/>
          <w:color w:val="FF0000"/>
          <w:sz w:val="32"/>
          <w:szCs w:val="32"/>
        </w:rPr>
      </w:pPr>
      <w:r>
        <w:rPr>
          <w:rFonts w:hint="eastAsia" w:ascii="仿宋_GB2312" w:eastAsia="仿宋_GB2312"/>
          <w:b/>
          <w:sz w:val="32"/>
          <w:szCs w:val="32"/>
        </w:rPr>
        <w:t>第二十八条</w:t>
      </w:r>
      <w:r>
        <w:rPr>
          <w:rFonts w:hint="eastAsia" w:ascii="仿宋_GB2312" w:eastAsia="仿宋_GB2312"/>
          <w:sz w:val="32"/>
          <w:szCs w:val="32"/>
        </w:rPr>
        <w:t xml:space="preserve"> 公共资源交易平台、公共资源交易综合监督管理机构、有关行政监督管理部门在公共资源交易数据采集、汇总、传输、存储、公开、使用过程中，应加强数据安全管理。涉密数据的管理，按照有关法律规定执行。</w:t>
      </w:r>
    </w:p>
    <w:p>
      <w:pPr>
        <w:widowControl/>
        <w:spacing w:line="360" w:lineRule="auto"/>
        <w:rPr>
          <w:rFonts w:ascii="仿宋_GB2312" w:eastAsia="仿宋_GB2312"/>
          <w:sz w:val="32"/>
          <w:szCs w:val="32"/>
        </w:rPr>
      </w:pPr>
    </w:p>
    <w:p>
      <w:pPr>
        <w:widowControl/>
        <w:spacing w:line="360" w:lineRule="auto"/>
        <w:jc w:val="center"/>
        <w:rPr>
          <w:rFonts w:ascii="仿宋_GB2312" w:hAnsi="宋体" w:eastAsia="仿宋_GB2312"/>
          <w:color w:val="333333"/>
          <w:sz w:val="32"/>
          <w:szCs w:val="32"/>
        </w:rPr>
      </w:pPr>
      <w:r>
        <w:rPr>
          <w:rFonts w:hint="eastAsia" w:ascii="宋体" w:hAnsi="宋体" w:cs="宋体"/>
          <w:b/>
          <w:kern w:val="0"/>
          <w:sz w:val="32"/>
          <w:szCs w:val="32"/>
        </w:rPr>
        <w:t xml:space="preserve">第六章  </w:t>
      </w:r>
      <w:r>
        <w:rPr>
          <w:rFonts w:ascii="宋体" w:hAnsi="宋体" w:cs="宋体"/>
          <w:b/>
          <w:kern w:val="0"/>
          <w:sz w:val="32"/>
          <w:szCs w:val="32"/>
        </w:rPr>
        <w:t>监督管理</w:t>
      </w:r>
    </w:p>
    <w:p>
      <w:pPr>
        <w:pStyle w:val="6"/>
        <w:ind w:firstLine="643" w:firstLineChars="200"/>
        <w:rPr>
          <w:rFonts w:ascii="仿宋_GB2312" w:eastAsia="仿宋_GB2312"/>
          <w:sz w:val="32"/>
          <w:szCs w:val="32"/>
        </w:rPr>
      </w:pPr>
      <w:r>
        <w:rPr>
          <w:rFonts w:hint="eastAsia" w:ascii="仿宋_GB2312" w:eastAsia="仿宋_GB2312"/>
          <w:b/>
          <w:sz w:val="32"/>
          <w:szCs w:val="32"/>
        </w:rPr>
        <w:t>第二十九条</w:t>
      </w:r>
      <w:r>
        <w:rPr>
          <w:rFonts w:hint="eastAsia" w:ascii="仿宋_GB2312" w:eastAsia="仿宋_GB2312"/>
          <w:sz w:val="32"/>
          <w:szCs w:val="32"/>
        </w:rPr>
        <w:t xml:space="preserve"> 市县公共资源交易综合监督管理机构和有关行政监督管理部门建立公共资源交易协同监管、联动执法机制，加大执法力度，依法查处违法违规行为。</w:t>
      </w:r>
    </w:p>
    <w:p>
      <w:pPr>
        <w:pStyle w:val="6"/>
        <w:ind w:firstLine="640" w:firstLineChars="200"/>
        <w:rPr>
          <w:rFonts w:ascii="仿宋_GB2312" w:eastAsia="仿宋_GB2312"/>
          <w:sz w:val="32"/>
          <w:szCs w:val="32"/>
        </w:rPr>
      </w:pPr>
      <w:r>
        <w:rPr>
          <w:rFonts w:hint="eastAsia" w:ascii="仿宋_GB2312" w:eastAsia="仿宋_GB2312"/>
          <w:sz w:val="32"/>
          <w:szCs w:val="32"/>
        </w:rPr>
        <w:t>市县</w:t>
      </w:r>
      <w:r>
        <w:rPr>
          <w:rFonts w:ascii="仿宋_GB2312" w:eastAsia="仿宋_GB2312"/>
          <w:sz w:val="32"/>
          <w:szCs w:val="32"/>
        </w:rPr>
        <w:t>行政监察机关依法对参与、实施公共资源交易活动的监察对象实施行政监察。对利用职权违规干预和插手公共资源交易活动的国家</w:t>
      </w:r>
      <w:r>
        <w:rPr>
          <w:rFonts w:hint="eastAsia" w:ascii="仿宋_GB2312" w:eastAsia="仿宋_GB2312"/>
          <w:sz w:val="32"/>
          <w:szCs w:val="32"/>
        </w:rPr>
        <w:t>行政机关或国家行政机关任命的国有企事业单位工作人员</w:t>
      </w:r>
      <w:r>
        <w:rPr>
          <w:rFonts w:ascii="仿宋_GB2312" w:eastAsia="仿宋_GB2312"/>
          <w:sz w:val="32"/>
          <w:szCs w:val="32"/>
        </w:rPr>
        <w:t xml:space="preserve">，依法依规予以处理。 </w:t>
      </w:r>
    </w:p>
    <w:p>
      <w:pPr>
        <w:pStyle w:val="6"/>
        <w:ind w:firstLine="640" w:firstLineChars="200"/>
        <w:rPr>
          <w:rFonts w:ascii="仿宋_GB2312" w:eastAsia="仿宋_GB2312"/>
          <w:sz w:val="32"/>
          <w:szCs w:val="32"/>
        </w:rPr>
      </w:pPr>
      <w:r>
        <w:rPr>
          <w:rFonts w:hint="eastAsia" w:ascii="仿宋_GB2312" w:eastAsia="仿宋_GB2312"/>
          <w:sz w:val="32"/>
          <w:szCs w:val="32"/>
        </w:rPr>
        <w:t>市县审计部门对公共资源交易平台运行依法开展审计监督。</w:t>
      </w:r>
    </w:p>
    <w:p>
      <w:pPr>
        <w:widowControl/>
        <w:spacing w:line="360" w:lineRule="auto"/>
        <w:ind w:firstLine="645"/>
        <w:rPr>
          <w:rFonts w:ascii="仿宋_GB2312" w:hAnsi="宋体" w:eastAsia="仿宋_GB2312"/>
          <w:color w:val="333333"/>
          <w:sz w:val="32"/>
          <w:szCs w:val="32"/>
        </w:rPr>
      </w:pPr>
      <w:r>
        <w:rPr>
          <w:rFonts w:hint="eastAsia" w:ascii="仿宋_GB2312" w:eastAsia="仿宋_GB2312"/>
          <w:b/>
          <w:sz w:val="32"/>
          <w:szCs w:val="32"/>
        </w:rPr>
        <w:t>第三十条</w:t>
      </w:r>
      <w:r>
        <w:rPr>
          <w:rFonts w:hint="eastAsia" w:ascii="仿宋_GB2312" w:eastAsia="仿宋_GB2312"/>
          <w:sz w:val="32"/>
          <w:szCs w:val="32"/>
        </w:rPr>
        <w:t xml:space="preserve"> </w:t>
      </w:r>
      <w:r>
        <w:rPr>
          <w:rFonts w:hint="eastAsia" w:ascii="仿宋_GB2312" w:hAnsi="宋体" w:eastAsia="仿宋_GB2312"/>
          <w:color w:val="333333"/>
          <w:sz w:val="32"/>
          <w:szCs w:val="32"/>
        </w:rPr>
        <w:t>公共资源交易综合监督管理机构和有关行政监督管理部门应建立完善的举报和投诉处理机制，向社会公布投诉的途径和方式。</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color w:val="333333"/>
          <w:sz w:val="32"/>
          <w:szCs w:val="32"/>
        </w:rPr>
        <w:t>公共资源交易综合监督管理机构负责协调、监督处理进入公共资源交易平台项目招标投标活动的投诉。</w:t>
      </w:r>
    </w:p>
    <w:p>
      <w:pPr>
        <w:widowControl/>
        <w:spacing w:line="360" w:lineRule="auto"/>
        <w:ind w:firstLine="643" w:firstLineChars="200"/>
        <w:rPr>
          <w:rFonts w:ascii="仿宋_GB2312" w:hAnsi="宋体" w:eastAsia="仿宋_GB2312"/>
          <w:color w:val="333333"/>
          <w:sz w:val="32"/>
          <w:szCs w:val="32"/>
        </w:rPr>
      </w:pPr>
      <w:r>
        <w:rPr>
          <w:rFonts w:hint="eastAsia" w:ascii="仿宋_GB2312" w:hAnsi="宋体" w:eastAsia="仿宋_GB2312"/>
          <w:b/>
          <w:color w:val="333333"/>
          <w:sz w:val="32"/>
          <w:szCs w:val="32"/>
        </w:rPr>
        <w:t>第三十一条</w:t>
      </w:r>
      <w:r>
        <w:rPr>
          <w:rFonts w:hint="eastAsia" w:ascii="仿宋_GB2312" w:eastAsia="仿宋_GB2312"/>
          <w:sz w:val="32"/>
          <w:szCs w:val="32"/>
        </w:rPr>
        <w:t xml:space="preserve"> 公共资源交易综合监督管理机构会同有关行政监督部门建立健全公共资源交易领域守信激励和失信惩戒机制。将市场主体信用信息作为公共资源交易市场准入、资质资格审核的重要依据。</w:t>
      </w:r>
    </w:p>
    <w:p>
      <w:pPr>
        <w:spacing w:line="560" w:lineRule="exact"/>
        <w:ind w:firstLine="643" w:firstLineChars="200"/>
        <w:rPr>
          <w:rFonts w:ascii="仿宋_GB2312" w:eastAsia="仿宋_GB2312"/>
          <w:sz w:val="32"/>
          <w:szCs w:val="32"/>
        </w:rPr>
      </w:pPr>
      <w:r>
        <w:rPr>
          <w:rFonts w:hint="eastAsia" w:ascii="仿宋_GB2312" w:hAnsi="宋体" w:eastAsia="仿宋_GB2312"/>
          <w:b/>
          <w:color w:val="333333"/>
          <w:sz w:val="32"/>
          <w:szCs w:val="32"/>
        </w:rPr>
        <w:t>第三十二条</w:t>
      </w:r>
      <w:r>
        <w:rPr>
          <w:rFonts w:hint="eastAsia" w:ascii="仿宋_GB2312" w:hAnsi="宋体" w:eastAsia="仿宋_GB2312"/>
          <w:color w:val="333333"/>
          <w:sz w:val="32"/>
          <w:szCs w:val="32"/>
        </w:rPr>
        <w:t xml:space="preserve"> </w:t>
      </w:r>
      <w:r>
        <w:rPr>
          <w:rFonts w:hint="eastAsia" w:ascii="仿宋_GB2312" w:eastAsia="仿宋_GB2312"/>
          <w:sz w:val="32"/>
          <w:szCs w:val="32"/>
        </w:rPr>
        <w:t>市场主体在公共资源电子交易系统首次注册时提交信用承诺书，公共资源电子交易系统应当公开其承诺，接受社会监督。</w:t>
      </w:r>
      <w:r>
        <w:rPr>
          <w:rFonts w:ascii="仿宋_GB2312" w:eastAsia="仿宋_GB2312"/>
          <w:sz w:val="32"/>
          <w:szCs w:val="32"/>
        </w:rPr>
        <w:t xml:space="preserve"> </w:t>
      </w:r>
    </w:p>
    <w:p>
      <w:pPr>
        <w:spacing w:line="560" w:lineRule="exact"/>
        <w:ind w:firstLine="643" w:firstLineChars="200"/>
        <w:rPr>
          <w:rFonts w:ascii="仿宋_GB2312" w:hAnsi="宋体" w:eastAsia="仿宋_GB2312"/>
          <w:color w:val="333333"/>
          <w:sz w:val="32"/>
          <w:szCs w:val="32"/>
        </w:rPr>
      </w:pPr>
      <w:r>
        <w:rPr>
          <w:rFonts w:hint="eastAsia" w:ascii="仿宋_GB2312" w:hAnsi="宋体" w:eastAsia="仿宋_GB2312"/>
          <w:b/>
          <w:color w:val="333333"/>
          <w:sz w:val="32"/>
          <w:szCs w:val="32"/>
        </w:rPr>
        <w:t>第三十三条</w:t>
      </w:r>
      <w:r>
        <w:rPr>
          <w:rFonts w:hint="eastAsia" w:ascii="仿宋_GB2312" w:hAnsi="宋体" w:eastAsia="仿宋_GB2312"/>
          <w:color w:val="333333"/>
          <w:sz w:val="32"/>
          <w:szCs w:val="32"/>
        </w:rPr>
        <w:t xml:space="preserve"> 公共资源交易综合监督管理机构应当充分运用交易数据开展大数据分析，为行政监督和政府决策提供依据。</w:t>
      </w:r>
    </w:p>
    <w:p>
      <w:pPr>
        <w:spacing w:line="560" w:lineRule="exact"/>
        <w:ind w:firstLine="643" w:firstLineChars="200"/>
        <w:rPr>
          <w:rFonts w:ascii="仿宋_GB2312" w:hAnsi="宋体" w:eastAsia="仿宋_GB2312"/>
          <w:color w:val="333333"/>
          <w:sz w:val="32"/>
          <w:szCs w:val="32"/>
        </w:rPr>
      </w:pPr>
      <w:r>
        <w:rPr>
          <w:rFonts w:hint="eastAsia" w:ascii="仿宋_GB2312" w:hAnsi="宋体" w:eastAsia="仿宋_GB2312"/>
          <w:b/>
          <w:color w:val="333333"/>
          <w:sz w:val="32"/>
          <w:szCs w:val="32"/>
        </w:rPr>
        <w:t>第三十四条</w:t>
      </w:r>
      <w:r>
        <w:rPr>
          <w:rFonts w:hint="eastAsia" w:ascii="仿宋_GB2312" w:hAnsi="宋体" w:eastAsia="仿宋_GB2312"/>
          <w:color w:val="333333"/>
          <w:sz w:val="32"/>
          <w:szCs w:val="32"/>
        </w:rPr>
        <w:t xml:space="preserve"> </w:t>
      </w:r>
      <w:r>
        <w:rPr>
          <w:rFonts w:hint="eastAsia" w:ascii="仿宋_GB2312" w:eastAsia="仿宋_GB2312"/>
          <w:sz w:val="32"/>
          <w:szCs w:val="32"/>
        </w:rPr>
        <w:t>市县公共资源交易综合监督管理机构组织建立由市场主体以及第三方机构参与的社会评价机制，对平台运行服务机构的服务进行评价。</w:t>
      </w:r>
    </w:p>
    <w:p>
      <w:pPr>
        <w:widowControl/>
        <w:spacing w:line="360" w:lineRule="auto"/>
        <w:ind w:firstLine="645"/>
        <w:rPr>
          <w:rFonts w:ascii="仿宋_GB2312" w:hAnsi="宋体" w:eastAsia="仿宋_GB2312"/>
          <w:color w:val="333333"/>
          <w:sz w:val="32"/>
          <w:szCs w:val="32"/>
        </w:rPr>
      </w:pPr>
    </w:p>
    <w:p>
      <w:pPr>
        <w:widowControl/>
        <w:jc w:val="center"/>
        <w:rPr>
          <w:rFonts w:ascii="宋体" w:hAnsi="宋体" w:cs="宋体"/>
          <w:b/>
          <w:kern w:val="0"/>
          <w:sz w:val="32"/>
          <w:szCs w:val="32"/>
        </w:rPr>
      </w:pPr>
      <w:r>
        <w:rPr>
          <w:rFonts w:ascii="宋体" w:hAnsi="宋体" w:cs="宋体"/>
          <w:b/>
          <w:kern w:val="0"/>
          <w:sz w:val="32"/>
          <w:szCs w:val="32"/>
        </w:rPr>
        <w:t>第</w:t>
      </w:r>
      <w:r>
        <w:rPr>
          <w:rFonts w:hint="eastAsia" w:ascii="宋体" w:hAnsi="宋体" w:cs="宋体"/>
          <w:b/>
          <w:kern w:val="0"/>
          <w:sz w:val="32"/>
          <w:szCs w:val="32"/>
        </w:rPr>
        <w:t>七</w:t>
      </w:r>
      <w:r>
        <w:rPr>
          <w:rFonts w:ascii="宋体" w:hAnsi="宋体" w:cs="宋体"/>
          <w:b/>
          <w:kern w:val="0"/>
          <w:sz w:val="32"/>
          <w:szCs w:val="32"/>
        </w:rPr>
        <w:t>章 责任追究</w:t>
      </w:r>
    </w:p>
    <w:p>
      <w:pPr>
        <w:spacing w:line="560" w:lineRule="exact"/>
        <w:ind w:firstLine="643" w:firstLineChars="200"/>
        <w:rPr>
          <w:rFonts w:ascii="仿宋_GB2312" w:hAnsi="宋体" w:eastAsia="仿宋_GB2312"/>
          <w:color w:val="333333"/>
          <w:sz w:val="32"/>
          <w:szCs w:val="32"/>
        </w:rPr>
      </w:pPr>
      <w:r>
        <w:rPr>
          <w:rFonts w:hint="eastAsia" w:ascii="仿宋_GB2312" w:hAnsi="宋体" w:eastAsia="仿宋_GB2312"/>
          <w:b/>
          <w:color w:val="333333"/>
          <w:sz w:val="32"/>
          <w:szCs w:val="32"/>
        </w:rPr>
        <w:t>第三十五条</w:t>
      </w:r>
      <w:r>
        <w:rPr>
          <w:rFonts w:hint="eastAsia" w:ascii="仿宋_GB2312" w:hAnsi="宋体" w:eastAsia="仿宋_GB2312"/>
          <w:color w:val="333333"/>
          <w:sz w:val="32"/>
          <w:szCs w:val="32"/>
        </w:rPr>
        <w:t xml:space="preserve"> </w:t>
      </w:r>
      <w:r>
        <w:rPr>
          <w:rFonts w:ascii="仿宋_GB2312" w:hAnsi="宋体" w:eastAsia="仿宋_GB2312"/>
          <w:color w:val="333333"/>
          <w:sz w:val="32"/>
          <w:szCs w:val="32"/>
        </w:rPr>
        <w:t>公共资源交易平台运行服务机构未公开服务内容、服务流程、工作规范、收费标准和监督渠道，由同级公共资源交易综合</w:t>
      </w:r>
      <w:r>
        <w:rPr>
          <w:rFonts w:hint="eastAsia" w:ascii="仿宋_GB2312" w:hAnsi="宋体" w:eastAsia="仿宋_GB2312"/>
          <w:color w:val="333333"/>
          <w:sz w:val="32"/>
          <w:szCs w:val="32"/>
        </w:rPr>
        <w:t>监督</w:t>
      </w:r>
      <w:r>
        <w:rPr>
          <w:rFonts w:ascii="仿宋_GB2312" w:hAnsi="宋体" w:eastAsia="仿宋_GB2312"/>
          <w:color w:val="333333"/>
          <w:sz w:val="32"/>
          <w:szCs w:val="32"/>
        </w:rPr>
        <w:t>管理</w:t>
      </w:r>
      <w:r>
        <w:rPr>
          <w:rFonts w:hint="eastAsia" w:ascii="仿宋_GB2312" w:hAnsi="宋体" w:eastAsia="仿宋_GB2312"/>
          <w:color w:val="333333"/>
          <w:sz w:val="32"/>
          <w:szCs w:val="32"/>
        </w:rPr>
        <w:t>机构</w:t>
      </w:r>
      <w:r>
        <w:rPr>
          <w:rFonts w:ascii="仿宋_GB2312" w:hAnsi="宋体" w:eastAsia="仿宋_GB2312"/>
          <w:color w:val="333333"/>
          <w:sz w:val="32"/>
          <w:szCs w:val="32"/>
        </w:rPr>
        <w:t xml:space="preserve">责令限期改正。拒不改正的，予以通报批评。 </w:t>
      </w:r>
    </w:p>
    <w:p>
      <w:pPr>
        <w:spacing w:line="560" w:lineRule="exact"/>
        <w:ind w:firstLine="643" w:firstLineChars="200"/>
        <w:rPr>
          <w:rFonts w:ascii="仿宋_GB2312" w:hAnsi="宋体" w:eastAsia="仿宋_GB2312"/>
          <w:color w:val="333333"/>
          <w:sz w:val="32"/>
          <w:szCs w:val="32"/>
        </w:rPr>
      </w:pPr>
      <w:r>
        <w:rPr>
          <w:rFonts w:ascii="仿宋_GB2312" w:hAnsi="宋体" w:eastAsia="仿宋_GB2312"/>
          <w:b/>
          <w:color w:val="333333"/>
          <w:sz w:val="32"/>
          <w:szCs w:val="32"/>
        </w:rPr>
        <w:t>第三十</w:t>
      </w:r>
      <w:r>
        <w:rPr>
          <w:rFonts w:hint="eastAsia" w:ascii="仿宋_GB2312" w:hAnsi="宋体" w:eastAsia="仿宋_GB2312"/>
          <w:b/>
          <w:color w:val="333333"/>
          <w:sz w:val="32"/>
          <w:szCs w:val="32"/>
        </w:rPr>
        <w:t>六</w:t>
      </w:r>
      <w:r>
        <w:rPr>
          <w:rFonts w:ascii="仿宋_GB2312" w:hAnsi="宋体" w:eastAsia="仿宋_GB2312"/>
          <w:b/>
          <w:color w:val="333333"/>
          <w:sz w:val="32"/>
          <w:szCs w:val="32"/>
        </w:rPr>
        <w:t>条</w:t>
      </w:r>
      <w:r>
        <w:rPr>
          <w:rFonts w:hint="eastAsia" w:ascii="仿宋_GB2312" w:hAnsi="宋体" w:eastAsia="仿宋_GB2312"/>
          <w:color w:val="333333"/>
          <w:sz w:val="32"/>
          <w:szCs w:val="32"/>
        </w:rPr>
        <w:t xml:space="preserve"> </w:t>
      </w:r>
      <w:r>
        <w:rPr>
          <w:rFonts w:ascii="仿宋_GB2312" w:hAnsi="宋体" w:eastAsia="仿宋_GB2312"/>
          <w:color w:val="333333"/>
          <w:sz w:val="32"/>
          <w:szCs w:val="32"/>
        </w:rPr>
        <w:t>公共资源交易平台运行服务机构及其工作人员违反本办法第</w:t>
      </w:r>
      <w:r>
        <w:rPr>
          <w:rFonts w:hint="eastAsia" w:ascii="仿宋_GB2312" w:hAnsi="宋体" w:eastAsia="仿宋_GB2312"/>
          <w:color w:val="333333"/>
          <w:sz w:val="32"/>
          <w:szCs w:val="32"/>
        </w:rPr>
        <w:t>二</w:t>
      </w:r>
      <w:r>
        <w:rPr>
          <w:rFonts w:ascii="仿宋_GB2312" w:hAnsi="宋体" w:eastAsia="仿宋_GB2312"/>
          <w:color w:val="333333"/>
          <w:sz w:val="32"/>
          <w:szCs w:val="32"/>
        </w:rPr>
        <w:t>十条禁止性规定的，由同级公共资源交易综合</w:t>
      </w:r>
      <w:r>
        <w:rPr>
          <w:rFonts w:hint="eastAsia" w:ascii="仿宋_GB2312" w:hAnsi="宋体" w:eastAsia="仿宋_GB2312"/>
          <w:color w:val="333333"/>
          <w:sz w:val="32"/>
          <w:szCs w:val="32"/>
        </w:rPr>
        <w:t>监督管理机构</w:t>
      </w:r>
      <w:r>
        <w:rPr>
          <w:rFonts w:ascii="仿宋_GB2312" w:hAnsi="宋体" w:eastAsia="仿宋_GB2312"/>
          <w:color w:val="333333"/>
          <w:sz w:val="32"/>
          <w:szCs w:val="32"/>
        </w:rPr>
        <w:t xml:space="preserve">责令限期改正，并予以通报批评。情节严重的，依法追究直接责任人和有关领导的责任。构成犯罪的，依法追究刑事责任。 </w:t>
      </w:r>
    </w:p>
    <w:p>
      <w:pPr>
        <w:spacing w:line="560" w:lineRule="exact"/>
        <w:ind w:firstLine="643" w:firstLineChars="200"/>
        <w:rPr>
          <w:rFonts w:ascii="仿宋_GB2312" w:hAnsi="宋体" w:eastAsia="仿宋_GB2312"/>
          <w:color w:val="333333"/>
          <w:sz w:val="32"/>
          <w:szCs w:val="32"/>
        </w:rPr>
      </w:pPr>
      <w:r>
        <w:rPr>
          <w:rFonts w:ascii="仿宋_GB2312" w:hAnsi="宋体" w:eastAsia="仿宋_GB2312"/>
          <w:b/>
          <w:color w:val="333333"/>
          <w:sz w:val="32"/>
          <w:szCs w:val="32"/>
        </w:rPr>
        <w:t>第</w:t>
      </w:r>
      <w:r>
        <w:rPr>
          <w:rFonts w:hint="eastAsia" w:ascii="仿宋_GB2312" w:hAnsi="宋体" w:eastAsia="仿宋_GB2312"/>
          <w:b/>
          <w:color w:val="333333"/>
          <w:sz w:val="32"/>
          <w:szCs w:val="32"/>
        </w:rPr>
        <w:t>三十七</w:t>
      </w:r>
      <w:r>
        <w:rPr>
          <w:rFonts w:ascii="仿宋_GB2312" w:hAnsi="宋体" w:eastAsia="仿宋_GB2312"/>
          <w:b/>
          <w:color w:val="333333"/>
          <w:sz w:val="32"/>
          <w:szCs w:val="32"/>
        </w:rPr>
        <w:t>条</w:t>
      </w:r>
      <w:r>
        <w:rPr>
          <w:rFonts w:hint="eastAsia" w:ascii="仿宋_GB2312" w:hAnsi="宋体" w:eastAsia="仿宋_GB2312"/>
          <w:b/>
          <w:color w:val="333333"/>
          <w:sz w:val="32"/>
          <w:szCs w:val="32"/>
        </w:rPr>
        <w:t xml:space="preserve"> </w:t>
      </w:r>
      <w:r>
        <w:rPr>
          <w:rFonts w:ascii="仿宋_GB2312" w:hAnsi="宋体" w:eastAsia="仿宋_GB2312"/>
          <w:color w:val="333333"/>
          <w:sz w:val="32"/>
          <w:szCs w:val="32"/>
        </w:rPr>
        <w:t>公共资源交易平台运行服务机构未按照本</w:t>
      </w:r>
      <w:r>
        <w:rPr>
          <w:rFonts w:hint="eastAsia" w:ascii="仿宋_GB2312" w:hAnsi="宋体" w:eastAsia="仿宋_GB2312"/>
          <w:color w:val="333333"/>
          <w:sz w:val="32"/>
          <w:szCs w:val="32"/>
        </w:rPr>
        <w:t>办法</w:t>
      </w:r>
      <w:r>
        <w:rPr>
          <w:rFonts w:ascii="仿宋_GB2312" w:hAnsi="宋体" w:eastAsia="仿宋_GB2312"/>
          <w:color w:val="333333"/>
          <w:sz w:val="32"/>
          <w:szCs w:val="32"/>
        </w:rPr>
        <w:t>规定在公共资源交易</w:t>
      </w:r>
      <w:r>
        <w:rPr>
          <w:rFonts w:hint="eastAsia" w:ascii="仿宋_GB2312" w:hAnsi="宋体" w:eastAsia="仿宋_GB2312"/>
          <w:color w:val="333333"/>
          <w:sz w:val="32"/>
          <w:szCs w:val="32"/>
        </w:rPr>
        <w:t>平台</w:t>
      </w:r>
      <w:r>
        <w:rPr>
          <w:rFonts w:ascii="仿宋_GB2312" w:hAnsi="宋体" w:eastAsia="仿宋_GB2312"/>
          <w:color w:val="333333"/>
          <w:sz w:val="32"/>
          <w:szCs w:val="32"/>
        </w:rPr>
        <w:t>公开、交换、共享信息的，由同级公共资源交易综合</w:t>
      </w:r>
      <w:r>
        <w:rPr>
          <w:rFonts w:hint="eastAsia" w:ascii="仿宋_GB2312" w:hAnsi="宋体" w:eastAsia="仿宋_GB2312"/>
          <w:color w:val="333333"/>
          <w:sz w:val="32"/>
          <w:szCs w:val="32"/>
        </w:rPr>
        <w:t>监督管理机构</w:t>
      </w:r>
      <w:r>
        <w:rPr>
          <w:rFonts w:ascii="仿宋_GB2312" w:hAnsi="宋体" w:eastAsia="仿宋_GB2312"/>
          <w:color w:val="333333"/>
          <w:sz w:val="32"/>
          <w:szCs w:val="32"/>
        </w:rPr>
        <w:t>责令限期改</w:t>
      </w:r>
      <w:r>
        <w:rPr>
          <w:rFonts w:hint="eastAsia" w:ascii="仿宋_GB2312" w:hAnsi="宋体" w:eastAsia="仿宋_GB2312"/>
          <w:color w:val="333333"/>
          <w:sz w:val="32"/>
          <w:szCs w:val="32"/>
        </w:rPr>
        <w:t xml:space="preserve">正。拒不改正的，依法对直接负责的主管人员和其他直接责任人员给予处分，并予以通报。 </w:t>
      </w:r>
    </w:p>
    <w:p>
      <w:pPr>
        <w:spacing w:line="560" w:lineRule="exact"/>
        <w:ind w:firstLine="643" w:firstLineChars="200"/>
        <w:rPr>
          <w:rFonts w:ascii="仿宋_GB2312" w:hAnsi="宋体" w:eastAsia="仿宋_GB2312"/>
          <w:color w:val="333333"/>
          <w:sz w:val="32"/>
          <w:szCs w:val="32"/>
        </w:rPr>
      </w:pPr>
      <w:r>
        <w:rPr>
          <w:rFonts w:hint="eastAsia" w:ascii="仿宋_GB2312" w:hAnsi="宋体" w:eastAsia="仿宋_GB2312"/>
          <w:b/>
          <w:color w:val="333333"/>
          <w:sz w:val="32"/>
          <w:szCs w:val="32"/>
        </w:rPr>
        <w:t>第三十八条</w:t>
      </w:r>
      <w:r>
        <w:rPr>
          <w:rFonts w:hint="eastAsia" w:ascii="仿宋_GB2312" w:hAnsi="宋体" w:eastAsia="仿宋_GB2312"/>
          <w:color w:val="333333"/>
          <w:sz w:val="32"/>
          <w:szCs w:val="32"/>
        </w:rPr>
        <w:t xml:space="preserve"> 公共资源交易平台运行服务机构及其工作人员向他人透露依法应当保密的公共资源交易信息的，由同级公共资源交易综合监督管理机构责令限期改正，并予以通报批评。情节严重的，依法追究直接责任人和有关领导的责任。构成犯罪的，依法追究刑事责任。 </w:t>
      </w:r>
    </w:p>
    <w:p>
      <w:pPr>
        <w:pStyle w:val="6"/>
        <w:ind w:firstLine="643" w:firstLineChars="200"/>
        <w:rPr>
          <w:rFonts w:ascii="仿宋_GB2312" w:eastAsia="仿宋_GB2312"/>
          <w:sz w:val="32"/>
          <w:szCs w:val="32"/>
        </w:rPr>
      </w:pPr>
      <w:r>
        <w:rPr>
          <w:rFonts w:hint="eastAsia" w:ascii="仿宋_GB2312" w:eastAsia="仿宋_GB2312"/>
          <w:b/>
          <w:sz w:val="32"/>
          <w:szCs w:val="32"/>
        </w:rPr>
        <w:t>第三十九条</w:t>
      </w:r>
      <w:r>
        <w:rPr>
          <w:rFonts w:hint="eastAsia" w:eastAsia="仿宋_GB2312"/>
          <w:b/>
          <w:sz w:val="32"/>
          <w:szCs w:val="32"/>
        </w:rPr>
        <w:t xml:space="preserve"> </w:t>
      </w:r>
      <w:r>
        <w:rPr>
          <w:rFonts w:hint="eastAsia" w:ascii="仿宋_GB2312" w:eastAsia="仿宋_GB2312"/>
          <w:sz w:val="32"/>
          <w:szCs w:val="32"/>
        </w:rPr>
        <w:t xml:space="preserve">公共资源交易综合监督管理机构、有关行政监督管理部门、公共资源交易平台运行服务机构及其工作人员徇私舞弊、滥用职权、弄虚作假、玩忽职守，未依法履行职责的，依法给予处分；构成犯罪的，依法追究刑事责任。 </w:t>
      </w:r>
    </w:p>
    <w:p>
      <w:pPr>
        <w:widowControl/>
        <w:spacing w:line="360" w:lineRule="auto"/>
        <w:ind w:firstLine="645"/>
        <w:rPr>
          <w:rFonts w:ascii="仿宋_GB2312" w:hAnsi="宋体" w:eastAsia="仿宋_GB2312"/>
          <w:color w:val="333333"/>
          <w:sz w:val="32"/>
          <w:szCs w:val="32"/>
        </w:rPr>
      </w:pPr>
    </w:p>
    <w:p>
      <w:pPr>
        <w:widowControl/>
        <w:jc w:val="center"/>
        <w:rPr>
          <w:rFonts w:ascii="宋体" w:hAnsi="宋体" w:cs="宋体"/>
          <w:b/>
          <w:kern w:val="0"/>
          <w:sz w:val="32"/>
          <w:szCs w:val="32"/>
        </w:rPr>
      </w:pPr>
      <w:r>
        <w:rPr>
          <w:rFonts w:ascii="宋体" w:hAnsi="宋体" w:cs="宋体"/>
          <w:b/>
          <w:kern w:val="0"/>
          <w:sz w:val="32"/>
          <w:szCs w:val="32"/>
        </w:rPr>
        <w:t>第</w:t>
      </w:r>
      <w:r>
        <w:rPr>
          <w:rFonts w:hint="eastAsia" w:ascii="宋体" w:hAnsi="宋体" w:cs="宋体"/>
          <w:b/>
          <w:kern w:val="0"/>
          <w:sz w:val="32"/>
          <w:szCs w:val="32"/>
        </w:rPr>
        <w:t>八</w:t>
      </w:r>
      <w:r>
        <w:rPr>
          <w:rFonts w:ascii="宋体" w:hAnsi="宋体" w:cs="宋体"/>
          <w:b/>
          <w:kern w:val="0"/>
          <w:sz w:val="32"/>
          <w:szCs w:val="32"/>
        </w:rPr>
        <w:t>章  附则</w:t>
      </w:r>
    </w:p>
    <w:p>
      <w:pPr>
        <w:widowControl/>
        <w:spacing w:line="360" w:lineRule="auto"/>
        <w:ind w:firstLine="645"/>
        <w:rPr>
          <w:rFonts w:ascii="仿宋_GB2312" w:hAnsi="宋体" w:eastAsia="仿宋_GB2312"/>
          <w:color w:val="333333"/>
          <w:sz w:val="32"/>
          <w:szCs w:val="32"/>
        </w:rPr>
      </w:pPr>
      <w:r>
        <w:rPr>
          <w:rFonts w:ascii="仿宋_GB2312" w:hAnsi="宋体" w:eastAsia="仿宋_GB2312"/>
          <w:b/>
          <w:color w:val="333333"/>
          <w:sz w:val="32"/>
          <w:szCs w:val="32"/>
        </w:rPr>
        <w:t>第</w:t>
      </w:r>
      <w:r>
        <w:rPr>
          <w:rFonts w:hint="eastAsia" w:ascii="仿宋_GB2312" w:hAnsi="宋体" w:eastAsia="仿宋_GB2312"/>
          <w:b/>
          <w:color w:val="333333"/>
          <w:sz w:val="32"/>
          <w:szCs w:val="32"/>
        </w:rPr>
        <w:t>四</w:t>
      </w:r>
      <w:r>
        <w:rPr>
          <w:rFonts w:ascii="仿宋_GB2312" w:hAnsi="宋体" w:eastAsia="仿宋_GB2312"/>
          <w:b/>
          <w:color w:val="333333"/>
          <w:sz w:val="32"/>
          <w:szCs w:val="32"/>
        </w:rPr>
        <w:t>十条</w:t>
      </w:r>
      <w:r>
        <w:rPr>
          <w:rFonts w:hint="eastAsia" w:ascii="仿宋_GB2312" w:hAnsi="宋体" w:eastAsia="仿宋_GB2312"/>
          <w:color w:val="333333"/>
          <w:sz w:val="32"/>
          <w:szCs w:val="32"/>
        </w:rPr>
        <w:t xml:space="preserve"> 本办法由孝感市公共资源交易监督管理局负责解释。</w:t>
      </w:r>
    </w:p>
    <w:p>
      <w:pPr>
        <w:widowControl/>
        <w:spacing w:line="360" w:lineRule="auto"/>
        <w:ind w:firstLine="645"/>
        <w:rPr>
          <w:rFonts w:ascii="仿宋_GB2312" w:hAnsi="宋体" w:eastAsia="仿宋_GB2312"/>
          <w:color w:val="333333"/>
          <w:sz w:val="32"/>
          <w:szCs w:val="32"/>
        </w:rPr>
      </w:pPr>
      <w:r>
        <w:rPr>
          <w:rFonts w:hint="eastAsia" w:ascii="仿宋_GB2312" w:hAnsi="宋体" w:eastAsia="仿宋_GB2312"/>
          <w:b/>
          <w:color w:val="333333"/>
          <w:sz w:val="32"/>
          <w:szCs w:val="32"/>
        </w:rPr>
        <w:t>第四十一条</w:t>
      </w:r>
      <w:r>
        <w:rPr>
          <w:rFonts w:hint="eastAsia" w:ascii="仿宋_GB2312" w:hAnsi="宋体" w:eastAsia="仿宋_GB2312"/>
          <w:color w:val="333333"/>
          <w:sz w:val="32"/>
          <w:szCs w:val="32"/>
        </w:rPr>
        <w:t xml:space="preserve"> 本办法自印发之日起实施。 </w:t>
      </w:r>
    </w:p>
    <w:p>
      <w:pPr>
        <w:widowControl/>
        <w:spacing w:line="360" w:lineRule="auto"/>
        <w:ind w:firstLine="645"/>
        <w:rPr>
          <w:rFonts w:ascii="仿宋_GB2312" w:hAnsi="宋体" w:eastAsia="仿宋_GB2312"/>
          <w:color w:val="333333"/>
          <w:sz w:val="32"/>
          <w:szCs w:val="32"/>
        </w:rPr>
      </w:pPr>
    </w:p>
    <w:p>
      <w:pPr>
        <w:widowControl/>
        <w:spacing w:line="360" w:lineRule="auto"/>
        <w:ind w:firstLine="645"/>
        <w:rPr>
          <w:rFonts w:ascii="仿宋_GB2312" w:hAnsi="宋体" w:eastAsia="仿宋_GB2312"/>
          <w:color w:val="333333"/>
          <w:sz w:val="32"/>
          <w:szCs w:val="32"/>
        </w:rPr>
      </w:pPr>
    </w:p>
    <w:p>
      <w:pPr>
        <w:widowControl/>
        <w:spacing w:line="360" w:lineRule="auto"/>
        <w:ind w:firstLine="645"/>
        <w:rPr>
          <w:rFonts w:ascii="仿宋_GB2312" w:hAnsi="宋体" w:eastAsia="仿宋_GB2312"/>
          <w:color w:val="333333"/>
          <w:sz w:val="32"/>
          <w:szCs w:val="32"/>
        </w:rPr>
      </w:pPr>
    </w:p>
    <w:p>
      <w:pPr>
        <w:widowControl/>
        <w:spacing w:line="360" w:lineRule="auto"/>
        <w:ind w:firstLine="645"/>
        <w:rPr>
          <w:rFonts w:ascii="仿宋_GB2312" w:hAnsi="宋体" w:eastAsia="仿宋_GB2312"/>
          <w:color w:val="333333"/>
          <w:sz w:val="32"/>
          <w:szCs w:val="32"/>
        </w:rPr>
      </w:pPr>
    </w:p>
    <w:p>
      <w:pPr>
        <w:widowControl/>
        <w:spacing w:line="360" w:lineRule="auto"/>
        <w:ind w:firstLine="645"/>
        <w:rPr>
          <w:rFonts w:ascii="仿宋_GB2312" w:hAnsi="宋体" w:eastAsia="仿宋_GB2312"/>
          <w:color w:val="333333"/>
          <w:sz w:val="32"/>
          <w:szCs w:val="32"/>
        </w:rPr>
      </w:pPr>
    </w:p>
    <w:p>
      <w:pPr>
        <w:widowControl/>
        <w:spacing w:line="360" w:lineRule="auto"/>
        <w:ind w:firstLine="645"/>
        <w:rPr>
          <w:rFonts w:ascii="仿宋_GB2312" w:hAnsi="宋体" w:eastAsia="仿宋_GB2312"/>
          <w:color w:val="333333"/>
          <w:sz w:val="32"/>
          <w:szCs w:val="32"/>
        </w:rPr>
      </w:pPr>
    </w:p>
    <w:p>
      <w:pPr>
        <w:widowControl/>
        <w:spacing w:line="360" w:lineRule="auto"/>
        <w:ind w:firstLine="645"/>
        <w:rPr>
          <w:rFonts w:hint="eastAsia" w:ascii="仿宋_GB2312" w:hAnsi="宋体" w:eastAsia="仿宋_GB2312"/>
          <w:color w:val="333333"/>
          <w:sz w:val="32"/>
          <w:szCs w:val="32"/>
        </w:rPr>
      </w:pPr>
    </w:p>
    <w:p>
      <w:pPr>
        <w:widowControl/>
        <w:spacing w:line="360" w:lineRule="auto"/>
        <w:ind w:firstLine="645"/>
        <w:rPr>
          <w:rFonts w:hint="eastAsia" w:ascii="仿宋_GB2312" w:hAnsi="宋体" w:eastAsia="仿宋_GB2312"/>
          <w:color w:val="333333"/>
          <w:sz w:val="32"/>
          <w:szCs w:val="32"/>
        </w:rPr>
      </w:pPr>
    </w:p>
    <w:p>
      <w:pPr>
        <w:widowControl/>
        <w:spacing w:line="360" w:lineRule="auto"/>
        <w:ind w:firstLine="645"/>
        <w:rPr>
          <w:rFonts w:hint="eastAsia" w:ascii="仿宋_GB2312" w:hAnsi="宋体" w:eastAsia="仿宋_GB2312"/>
          <w:color w:val="333333"/>
          <w:sz w:val="32"/>
          <w:szCs w:val="32"/>
        </w:rPr>
      </w:pPr>
    </w:p>
    <w:p>
      <w:pPr>
        <w:widowControl/>
        <w:spacing w:line="360" w:lineRule="auto"/>
        <w:ind w:firstLine="645"/>
        <w:rPr>
          <w:rFonts w:hint="eastAsia" w:ascii="仿宋_GB2312" w:hAnsi="宋体" w:eastAsia="仿宋_GB2312"/>
          <w:color w:val="333333"/>
          <w:sz w:val="32"/>
          <w:szCs w:val="32"/>
        </w:rPr>
      </w:pPr>
    </w:p>
    <w:p>
      <w:pPr>
        <w:widowControl/>
        <w:spacing w:line="360" w:lineRule="auto"/>
        <w:ind w:firstLine="645"/>
        <w:rPr>
          <w:rFonts w:hint="eastAsia" w:ascii="仿宋_GB2312" w:hAnsi="宋体" w:eastAsia="仿宋_GB2312"/>
          <w:color w:val="333333"/>
          <w:sz w:val="32"/>
          <w:szCs w:val="32"/>
        </w:rPr>
      </w:pPr>
    </w:p>
    <w:p>
      <w:pPr>
        <w:widowControl/>
        <w:spacing w:line="360" w:lineRule="auto"/>
        <w:ind w:firstLine="645"/>
        <w:rPr>
          <w:rFonts w:hint="eastAsia" w:ascii="仿宋_GB2312" w:hAnsi="宋体" w:eastAsia="仿宋_GB2312"/>
          <w:color w:val="333333"/>
          <w:sz w:val="32"/>
          <w:szCs w:val="32"/>
        </w:rPr>
      </w:pPr>
    </w:p>
    <w:p>
      <w:pPr>
        <w:widowControl/>
        <w:spacing w:line="360" w:lineRule="auto"/>
        <w:ind w:firstLine="645"/>
        <w:rPr>
          <w:rFonts w:hint="eastAsia" w:ascii="仿宋_GB2312" w:hAnsi="宋体" w:eastAsia="仿宋_GB2312"/>
          <w:color w:val="333333"/>
          <w:sz w:val="32"/>
          <w:szCs w:val="32"/>
        </w:rPr>
      </w:pPr>
    </w:p>
    <w:p>
      <w:pPr>
        <w:widowControl/>
        <w:spacing w:line="360" w:lineRule="auto"/>
        <w:rPr>
          <w:rFonts w:hint="eastAsia" w:ascii="仿宋_GB2312" w:hAnsi="宋体" w:eastAsia="仿宋_GB2312"/>
          <w:color w:val="333333"/>
          <w:sz w:val="32"/>
          <w:szCs w:val="32"/>
        </w:rPr>
      </w:pPr>
      <w:bookmarkStart w:id="0" w:name="_GoBack"/>
      <w:bookmarkEnd w:id="0"/>
    </w:p>
    <w:p>
      <w:pPr>
        <w:spacing w:line="580" w:lineRule="atLeast"/>
        <w:rPr>
          <w:rFonts w:hint="eastAsia" w:ascii="仿宋_GB2312" w:hAnsi="仿宋" w:eastAsia="仿宋_GB2312"/>
          <w:sz w:val="32"/>
          <w:szCs w:val="32"/>
        </w:rPr>
      </w:pPr>
    </w:p>
    <w:p>
      <w:pPr>
        <w:spacing w:line="580" w:lineRule="atLeast"/>
        <w:rPr>
          <w:rFonts w:hint="eastAsia" w:ascii="仿宋_GB2312" w:hAnsi="仿宋" w:eastAsia="仿宋_GB2312"/>
          <w:sz w:val="32"/>
          <w:szCs w:val="32"/>
        </w:rPr>
      </w:pPr>
      <w:r>
        <w:rPr>
          <w:rFonts w:ascii="Tahoma" w:hAnsi="Tahoma" w:eastAsia="微软雅黑"/>
          <w:sz w:val="22"/>
          <w:szCs w:val="22"/>
        </w:rPr>
        <w:pict>
          <v:line id="_x0000_s1027" o:spid="_x0000_s1027" o:spt="20" style="position:absolute;left:0pt;margin-left:0pt;margin-top:34.8pt;height:0pt;width:418.5pt;z-index:251661312;mso-width-relative:page;mso-height-relative:page;" coordsize="21600,21600">
            <v:path arrowok="t"/>
            <v:fill focussize="0,0"/>
            <v:stroke weight="1.25pt"/>
            <v:imagedata o:title=""/>
            <o:lock v:ext="edit"/>
          </v:line>
        </w:pict>
      </w:r>
      <w:r>
        <w:rPr>
          <w:rFonts w:ascii="Tahoma" w:hAnsi="Tahoma" w:eastAsia="微软雅黑"/>
          <w:sz w:val="22"/>
          <w:szCs w:val="22"/>
        </w:rPr>
        <w:pict>
          <v:line id="_x0000_s1026" o:spid="_x0000_s1026" o:spt="20" style="position:absolute;left:0pt;margin-left:0pt;margin-top:0pt;height:0pt;width:418.5pt;z-index:251660288;mso-width-relative:page;mso-height-relative:page;" coordsize="21600,21600">
            <v:path arrowok="t"/>
            <v:fill focussize="0,0"/>
            <v:stroke weight="1.25pt"/>
            <v:imagedata o:title=""/>
            <o:lock v:ext="edit"/>
          </v:line>
        </w:pict>
      </w:r>
      <w:r>
        <w:rPr>
          <w:rFonts w:hint="eastAsia" w:ascii="仿宋_GB2312" w:hAnsi="仿宋" w:eastAsia="仿宋_GB2312"/>
          <w:sz w:val="32"/>
          <w:szCs w:val="32"/>
        </w:rPr>
        <w:t>孝感市公共资源交易管理委员会       2017年5月2日印</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766650"/>
    <w:multiLevelType w:val="multilevel"/>
    <w:tmpl w:val="21766650"/>
    <w:lvl w:ilvl="0" w:tentative="0">
      <w:start w:val="1"/>
      <w:numFmt w:val="japaneseCounting"/>
      <w:lvlText w:val="第%1章"/>
      <w:lvlJc w:val="left"/>
      <w:pPr>
        <w:ind w:left="1350" w:hanging="13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C0B6D"/>
    <w:rsid w:val="000C45F9"/>
    <w:rsid w:val="00114697"/>
    <w:rsid w:val="001527E3"/>
    <w:rsid w:val="00196369"/>
    <w:rsid w:val="001E1A68"/>
    <w:rsid w:val="00301155"/>
    <w:rsid w:val="003169AF"/>
    <w:rsid w:val="00394FB3"/>
    <w:rsid w:val="00404179"/>
    <w:rsid w:val="00472289"/>
    <w:rsid w:val="00522C37"/>
    <w:rsid w:val="00574B91"/>
    <w:rsid w:val="005D4C8B"/>
    <w:rsid w:val="007C07AF"/>
    <w:rsid w:val="007E1102"/>
    <w:rsid w:val="00811455"/>
    <w:rsid w:val="008956E2"/>
    <w:rsid w:val="00936AB8"/>
    <w:rsid w:val="00940ED5"/>
    <w:rsid w:val="00942787"/>
    <w:rsid w:val="0096087E"/>
    <w:rsid w:val="009A3CF4"/>
    <w:rsid w:val="009C0B6D"/>
    <w:rsid w:val="00B23F70"/>
    <w:rsid w:val="00C04D1B"/>
    <w:rsid w:val="00C9457E"/>
    <w:rsid w:val="00CD1891"/>
    <w:rsid w:val="00D81BB1"/>
    <w:rsid w:val="00D86C79"/>
    <w:rsid w:val="00D9406A"/>
    <w:rsid w:val="00E36996"/>
    <w:rsid w:val="00EA5B25"/>
    <w:rsid w:val="00ED6E7A"/>
    <w:rsid w:val="00FE2EB0"/>
    <w:rsid w:val="08FF1BFA"/>
    <w:rsid w:val="3A432C1A"/>
    <w:rsid w:val="5CE756CA"/>
    <w:rsid w:val="6D254E6C"/>
    <w:rsid w:val="74F05A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
    <w:name w:val="页眉 Char"/>
    <w:basedOn w:val="4"/>
    <w:link w:val="3"/>
    <w:semiHidden/>
    <w:qFormat/>
    <w:uiPriority w:val="99"/>
    <w:rPr>
      <w:rFonts w:ascii="Times New Roman" w:hAnsi="Times New Roman" w:eastAsia="宋体" w:cs="Times New Roman"/>
      <w:sz w:val="18"/>
      <w:szCs w:val="18"/>
    </w:rPr>
  </w:style>
  <w:style w:type="character" w:customStyle="1" w:styleId="8">
    <w:name w:val="页脚 Char"/>
    <w:basedOn w:val="4"/>
    <w:link w:val="2"/>
    <w:semiHidden/>
    <w:qFormat/>
    <w:uiPriority w:val="99"/>
    <w:rPr>
      <w:rFonts w:ascii="Times New Roman" w:hAnsi="Times New Roman" w:eastAsia="宋体" w:cs="Times New Roman"/>
      <w:sz w:val="18"/>
      <w:szCs w:val="18"/>
    </w:rPr>
  </w:style>
  <w:style w:type="paragraph" w:customStyle="1"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5A8EFA-49CD-4B60-8985-6E68B838E250}">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12</Pages>
  <Words>748</Words>
  <Characters>4267</Characters>
  <Lines>35</Lines>
  <Paragraphs>10</Paragraphs>
  <TotalTime>0</TotalTime>
  <ScaleCrop>false</ScaleCrop>
  <LinksUpToDate>false</LinksUpToDate>
  <CharactersWithSpaces>5005</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2017-05-03T03:11:00Z</dcterms:created>
  <dc:creator>User</dc:creator>
  <cp:lastModifiedBy>zhkll</cp:lastModifiedBy>
  <cp:lastPrinted>2017-05-12T01:46:00Z</cp:lastPrinted>
  <dcterms:modified xsi:type="dcterms:W3CDTF">2019-01-24T02:59:01Z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