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5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sz w:val="32"/>
          <w:szCs w:val="40"/>
          <w:lang w:eastAsia="zh-CN"/>
        </w:rPr>
      </w:pPr>
    </w:p>
    <w:p>
      <w:pPr>
        <w:pStyle w:val="2"/>
        <w:rPr>
          <w:rFonts w:hint="eastAsia" w:ascii="楷体_GB2312" w:hAnsi="楷体_GB2312" w:eastAsia="楷体_GB2312" w:cs="楷体_GB2312"/>
          <w:sz w:val="32"/>
          <w:szCs w:val="40"/>
          <w:lang w:eastAsia="zh-CN"/>
        </w:rPr>
      </w:pPr>
    </w:p>
    <w:p>
      <w:pPr>
        <w:rPr>
          <w:rFonts w:hint="eastAsia"/>
          <w:lang w:eastAsia="zh-CN"/>
        </w:rPr>
      </w:pPr>
    </w:p>
    <w:p>
      <w:pPr>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楷体_GB2312" w:hAnsi="楷体_GB2312" w:eastAsia="楷体_GB2312" w:cs="楷体_GB2312"/>
          <w:sz w:val="32"/>
          <w:szCs w:val="40"/>
          <w:lang w:eastAsia="zh-CN"/>
        </w:rPr>
      </w:pPr>
    </w:p>
    <w:p>
      <w:pPr>
        <w:pStyle w:val="2"/>
        <w:rPr>
          <w:rFonts w:hint="eastAsia" w:ascii="楷体_GB2312" w:hAnsi="楷体_GB2312" w:eastAsia="楷体_GB2312" w:cs="楷体_GB2312"/>
          <w:sz w:val="32"/>
          <w:szCs w:val="40"/>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楷体_GB2312" w:hAnsi="楷体_GB2312" w:eastAsia="楷体_GB2312" w:cs="楷体_GB2312"/>
          <w:sz w:val="32"/>
          <w:szCs w:val="40"/>
          <w:lang w:val="en-US" w:eastAsia="zh-CN"/>
        </w:rPr>
      </w:pPr>
      <w:r>
        <w:rPr>
          <w:rFonts w:hint="eastAsia" w:ascii="楷体_GB2312" w:hAnsi="楷体_GB2312" w:eastAsia="楷体_GB2312" w:cs="楷体_GB2312"/>
          <w:sz w:val="32"/>
          <w:szCs w:val="40"/>
          <w:lang w:eastAsia="zh-CN"/>
        </w:rPr>
        <w:t>黄州公管委发〔</w:t>
      </w:r>
      <w:r>
        <w:rPr>
          <w:rFonts w:hint="eastAsia" w:ascii="楷体_GB2312" w:hAnsi="楷体_GB2312" w:eastAsia="楷体_GB2312" w:cs="楷体_GB2312"/>
          <w:sz w:val="32"/>
          <w:szCs w:val="40"/>
          <w:lang w:val="en-US" w:eastAsia="zh-CN"/>
        </w:rPr>
        <w:t>2023</w:t>
      </w:r>
      <w:r>
        <w:rPr>
          <w:rFonts w:hint="eastAsia" w:ascii="楷体_GB2312" w:hAnsi="楷体_GB2312" w:eastAsia="楷体_GB2312" w:cs="楷体_GB2312"/>
          <w:sz w:val="32"/>
          <w:szCs w:val="40"/>
          <w:lang w:eastAsia="zh-CN"/>
        </w:rPr>
        <w:t>〕</w:t>
      </w:r>
      <w:r>
        <w:rPr>
          <w:rFonts w:hint="eastAsia" w:ascii="楷体_GB2312" w:hAnsi="楷体_GB2312" w:eastAsia="楷体_GB2312" w:cs="楷体_GB2312"/>
          <w:sz w:val="32"/>
          <w:szCs w:val="40"/>
          <w:lang w:val="en-US" w:eastAsia="zh-CN"/>
        </w:rPr>
        <w:t>1号</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5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52"/>
          <w:lang w:eastAsia="zh-CN"/>
        </w:rPr>
      </w:pPr>
      <w:bookmarkStart w:id="0" w:name="_GoBack"/>
      <w:bookmarkEnd w:id="0"/>
      <w:r>
        <w:rPr>
          <w:rFonts w:hint="eastAsia" w:ascii="方正小标宋简体" w:hAnsi="方正小标宋简体" w:eastAsia="方正小标宋简体" w:cs="方正小标宋简体"/>
          <w:sz w:val="44"/>
          <w:szCs w:val="52"/>
          <w:lang w:eastAsia="zh-CN"/>
        </w:rPr>
        <w:t>关于印发《黄州区公共资源交易综合监管联动执法改革工作实施方案》的通知</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方正小标宋简体" w:hAnsi="方正小标宋简体" w:eastAsia="方正小标宋简体" w:cs="方正小标宋简体"/>
          <w:sz w:val="44"/>
          <w:szCs w:val="5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_GB2312" w:hAnsi="仿宋_GB2312" w:eastAsia="仿宋_GB2312" w:cs="仿宋_GB2312"/>
          <w:sz w:val="32"/>
          <w:szCs w:val="40"/>
          <w:lang w:eastAsia="zh-CN"/>
        </w:rPr>
      </w:pPr>
      <w:r>
        <w:rPr>
          <w:rFonts w:hint="eastAsia" w:ascii="仿宋_GB2312" w:hAnsi="仿宋_GB2312" w:eastAsia="仿宋_GB2312" w:cs="仿宋_GB2312"/>
          <w:sz w:val="32"/>
          <w:szCs w:val="40"/>
          <w:lang w:eastAsia="zh-CN"/>
        </w:rPr>
        <w:t>各乡镇</w:t>
      </w:r>
      <w:r>
        <w:rPr>
          <w:rFonts w:hint="eastAsia" w:ascii="仿宋_GB2312" w:hAnsi="仿宋_GB2312" w:eastAsia="仿宋_GB2312" w:cs="仿宋_GB2312"/>
          <w:sz w:val="32"/>
          <w:szCs w:val="40"/>
          <w:lang w:val="en-US" w:eastAsia="zh-CN"/>
        </w:rPr>
        <w:t>人民政府</w:t>
      </w:r>
      <w:r>
        <w:rPr>
          <w:rFonts w:hint="eastAsia" w:ascii="仿宋_GB2312" w:hAnsi="仿宋_GB2312" w:eastAsia="仿宋_GB2312" w:cs="仿宋_GB2312"/>
          <w:sz w:val="32"/>
          <w:szCs w:val="40"/>
          <w:lang w:eastAsia="zh-CN"/>
        </w:rPr>
        <w:t>、</w:t>
      </w:r>
      <w:r>
        <w:rPr>
          <w:rFonts w:hint="eastAsia" w:ascii="仿宋_GB2312" w:hAnsi="仿宋_GB2312" w:eastAsia="仿宋_GB2312" w:cs="仿宋_GB2312"/>
          <w:sz w:val="32"/>
          <w:szCs w:val="40"/>
          <w:lang w:val="en-US" w:eastAsia="zh-CN"/>
        </w:rPr>
        <w:t>街道办事处，</w:t>
      </w:r>
      <w:r>
        <w:rPr>
          <w:rFonts w:hint="eastAsia" w:ascii="仿宋_GB2312" w:hAnsi="仿宋_GB2312" w:eastAsia="仿宋_GB2312" w:cs="仿宋_GB2312"/>
          <w:sz w:val="32"/>
          <w:szCs w:val="40"/>
          <w:lang w:eastAsia="zh-CN"/>
        </w:rPr>
        <w:t>黄州工业园，区公共资源交易管理委员会成员单位：</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40"/>
          <w:lang w:eastAsia="zh-CN"/>
        </w:rPr>
      </w:pPr>
      <w:r>
        <w:rPr>
          <w:rFonts w:hint="eastAsia" w:ascii="仿宋_GB2312" w:hAnsi="仿宋_GB2312" w:eastAsia="仿宋_GB2312" w:cs="仿宋_GB2312"/>
          <w:sz w:val="32"/>
          <w:szCs w:val="40"/>
          <w:lang w:eastAsia="zh-CN"/>
        </w:rPr>
        <w:t>为持续深化一流营商环境建设，服务全区加快科技新城、商贸强城、文旅名城建设，经区政府同意，现将《黄州区公共资源交易综合监管联动执法改革工作实施方案》印发给你们，请认真抓好落实。</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both"/>
        <w:textAlignment w:val="auto"/>
        <w:rPr>
          <w:rFonts w:hint="eastAsia" w:ascii="仿宋_GB2312" w:hAnsi="仿宋_GB2312" w:eastAsia="仿宋_GB2312" w:cs="仿宋_GB2312"/>
          <w:sz w:val="32"/>
          <w:szCs w:val="40"/>
          <w:lang w:eastAsia="zh-CN"/>
        </w:rPr>
      </w:pPr>
    </w:p>
    <w:p>
      <w:pPr>
        <w:pStyle w:val="2"/>
        <w:rPr>
          <w:rFonts w:hint="eastAsia"/>
          <w:lang w:eastAsia="zh-CN"/>
        </w:rPr>
      </w:pP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right"/>
        <w:textAlignment w:val="auto"/>
        <w:rPr>
          <w:rFonts w:hint="eastAsia" w:ascii="仿宋_GB2312" w:hAnsi="仿宋_GB2312" w:eastAsia="仿宋_GB2312" w:cs="仿宋_GB2312"/>
          <w:sz w:val="32"/>
          <w:szCs w:val="40"/>
          <w:lang w:eastAsia="zh-CN"/>
        </w:rPr>
      </w:pPr>
      <w:r>
        <w:rPr>
          <w:rFonts w:hint="eastAsia" w:ascii="仿宋_GB2312" w:hAnsi="仿宋_GB2312" w:eastAsia="仿宋_GB2312" w:cs="仿宋_GB2312"/>
          <w:sz w:val="32"/>
          <w:szCs w:val="40"/>
          <w:lang w:eastAsia="zh-CN"/>
        </w:rPr>
        <w:t>黄州区公共资源交易管理委员会</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jc w:val="center"/>
        <w:textAlignment w:val="auto"/>
        <w:rPr>
          <w:rFonts w:hint="eastAsia" w:ascii="仿宋_GB2312" w:hAnsi="仿宋_GB2312" w:eastAsia="仿宋_GB2312" w:cs="仿宋_GB2312"/>
          <w:sz w:val="32"/>
          <w:szCs w:val="40"/>
          <w:lang w:val="en-US" w:eastAsia="zh-CN"/>
        </w:rPr>
        <w:sectPr>
          <w:pgSz w:w="11906" w:h="16838"/>
          <w:pgMar w:top="1440" w:right="1800" w:bottom="1440" w:left="1800" w:header="851" w:footer="992" w:gutter="0"/>
          <w:cols w:space="425" w:num="1"/>
          <w:docGrid w:type="lines" w:linePitch="312" w:charSpace="0"/>
        </w:sectPr>
      </w:pPr>
      <w:r>
        <w:rPr>
          <w:rFonts w:hint="eastAsia" w:ascii="仿宋_GB2312" w:hAnsi="仿宋_GB2312" w:eastAsia="仿宋_GB2312" w:cs="仿宋_GB2312"/>
          <w:sz w:val="32"/>
          <w:szCs w:val="40"/>
          <w:lang w:val="en-US" w:eastAsia="zh-CN"/>
        </w:rPr>
        <w:t xml:space="preserve">                     2023年1月30日</w:t>
      </w:r>
    </w:p>
    <w:p>
      <w:pPr>
        <w:pStyle w:val="2"/>
        <w:rPr>
          <w:rFonts w:hint="eastAsia"/>
          <w:lang w:eastAsia="zh-CN"/>
        </w:rPr>
      </w:pPr>
    </w:p>
    <w:p>
      <w:pPr>
        <w:pStyle w:val="4"/>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0"/>
        <w:jc w:val="center"/>
        <w:textAlignment w:val="auto"/>
        <w:rPr>
          <w:rFonts w:hint="eastAsia" w:ascii="方正小标宋简体" w:hAnsi="方正小标宋简体" w:eastAsia="方正小标宋简体" w:cs="方正小标宋简体"/>
          <w:b w:val="0"/>
          <w:bCs w:val="0"/>
          <w:i w:val="0"/>
          <w:iCs w:val="0"/>
          <w:caps w:val="0"/>
          <w:color w:val="000000" w:themeColor="text1"/>
          <w:spacing w:val="0"/>
          <w:sz w:val="44"/>
          <w:szCs w:val="44"/>
          <w14:textFill>
            <w14:solidFill>
              <w14:schemeClr w14:val="tx1"/>
            </w14:solidFill>
          </w14:textFill>
        </w:rPr>
      </w:pPr>
      <w:r>
        <w:rPr>
          <w:rFonts w:hint="eastAsia" w:ascii="方正小标宋简体" w:hAnsi="方正小标宋简体" w:eastAsia="方正小标宋简体" w:cs="方正小标宋简体"/>
          <w:b w:val="0"/>
          <w:bCs w:val="0"/>
          <w:i w:val="0"/>
          <w:iCs w:val="0"/>
          <w:caps w:val="0"/>
          <w:color w:val="000000" w:themeColor="text1"/>
          <w:spacing w:val="0"/>
          <w:sz w:val="44"/>
          <w:szCs w:val="44"/>
          <w:shd w:val="clear" w:fill="FFFFFF"/>
          <w:lang w:eastAsia="zh-CN"/>
          <w14:textFill>
            <w14:solidFill>
              <w14:schemeClr w14:val="tx1"/>
            </w14:solidFill>
          </w14:textFill>
        </w:rPr>
        <w:t>黄州区</w:t>
      </w:r>
      <w:r>
        <w:rPr>
          <w:rFonts w:hint="eastAsia" w:ascii="方正小标宋简体" w:hAnsi="方正小标宋简体" w:eastAsia="方正小标宋简体" w:cs="方正小标宋简体"/>
          <w:b w:val="0"/>
          <w:bCs w:val="0"/>
          <w:i w:val="0"/>
          <w:iCs w:val="0"/>
          <w:caps w:val="0"/>
          <w:color w:val="000000" w:themeColor="text1"/>
          <w:spacing w:val="0"/>
          <w:sz w:val="44"/>
          <w:szCs w:val="44"/>
          <w:shd w:val="clear" w:fill="FFFFFF"/>
          <w14:textFill>
            <w14:solidFill>
              <w14:schemeClr w14:val="tx1"/>
            </w14:solidFill>
          </w14:textFill>
        </w:rPr>
        <w:t>公共资源交易综合监管联动执法改革工作实施方案</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方正仿宋_GB2312" w:hAnsi="方正仿宋_GB2312" w:eastAsia="方正仿宋_GB2312" w:cs="方正仿宋_GB2312"/>
          <w:b w:val="0"/>
          <w:bCs w:val="0"/>
          <w:color w:val="000000" w:themeColor="text1"/>
          <w:sz w:val="32"/>
          <w:szCs w:val="32"/>
          <w14:textFill>
            <w14:solidFill>
              <w14:schemeClr w14:val="tx1"/>
            </w14:solidFill>
          </w14:textFill>
        </w:rPr>
      </w:pP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为贯彻落实《省人民政府办公厅关于印发持续深化一流营商环境建设若干措施的通知》（鄂政办发〔2022〕2号）和《湖北省公共资源交易监督管理局〈关于印发开展公共资源交易“综合监管联动执法”先行示范创建工作的实施方案〉的通知》（鄂公管文〔2022〕25号）要求，进一步规范公共资源交易综合监管和执法行为，加快推进公共资源交易综合监管联合执法改革进程，形成部门联动执法合力，全面提升执法工作效能，结合我</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实际，制定《</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黄州区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公共资源交易综合监管联动执法改革工作实施方案》（以下简称《方案》）。</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黑体" w:hAnsi="黑体" w:eastAsia="黑体" w:cs="黑体"/>
          <w:i w:val="0"/>
          <w:iCs w:val="0"/>
          <w:caps w:val="0"/>
          <w:color w:val="000000" w:themeColor="text1"/>
          <w:spacing w:val="0"/>
          <w:sz w:val="32"/>
          <w:szCs w:val="32"/>
          <w14:textFill>
            <w14:solidFill>
              <w14:schemeClr w14:val="tx1"/>
            </w14:solidFill>
          </w14:textFill>
        </w:rPr>
      </w:pPr>
      <w:r>
        <w:rPr>
          <w:rFonts w:hint="eastAsia" w:ascii="黑体" w:hAnsi="黑体" w:eastAsia="黑体" w:cs="黑体"/>
          <w:i w:val="0"/>
          <w:iCs w:val="0"/>
          <w:caps w:val="0"/>
          <w:color w:val="000000" w:themeColor="text1"/>
          <w:spacing w:val="0"/>
          <w:sz w:val="32"/>
          <w:szCs w:val="32"/>
          <w:shd w:val="clear" w:fill="FFFFFF"/>
          <w14:textFill>
            <w14:solidFill>
              <w14:schemeClr w14:val="tx1"/>
            </w14:solidFill>
          </w14:textFill>
        </w:rPr>
        <w:t>一、指导思想</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以习近平新时代中国特色社会主义思想为指导，全面贯彻落实党的</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二十大</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精神，完整、准确、全面贯彻新发展理念，振奋精神、鼓足干劲、凝聚共识、担当作为,不断推进</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公共资源交易监管体制更加完善、营商环境更加优化、服务大局更加有为、各项工作更加规范。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黑体" w:hAnsi="黑体" w:eastAsia="黑体" w:cs="黑体"/>
          <w:i w:val="0"/>
          <w:iCs w:val="0"/>
          <w:caps w:val="0"/>
          <w:color w:val="000000" w:themeColor="text1"/>
          <w:spacing w:val="0"/>
          <w:sz w:val="32"/>
          <w:szCs w:val="32"/>
          <w:shd w:val="clear" w:fill="FFFFFF"/>
          <w14:textFill>
            <w14:solidFill>
              <w14:schemeClr w14:val="tx1"/>
            </w14:solidFill>
          </w14:textFill>
        </w:rPr>
      </w:pPr>
      <w:r>
        <w:rPr>
          <w:rFonts w:hint="eastAsia" w:ascii="黑体" w:hAnsi="黑体" w:eastAsia="黑体" w:cs="黑体"/>
          <w:i w:val="0"/>
          <w:iCs w:val="0"/>
          <w:caps w:val="0"/>
          <w:color w:val="000000" w:themeColor="text1"/>
          <w:spacing w:val="0"/>
          <w:sz w:val="32"/>
          <w:szCs w:val="32"/>
          <w:shd w:val="clear" w:fill="FFFFFF"/>
          <w14:textFill>
            <w14:solidFill>
              <w14:schemeClr w14:val="tx1"/>
            </w14:solidFill>
          </w14:textFill>
        </w:rPr>
        <w:t>二、工作目标</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以公共资源交易“综合监管联动执法”改革工作为契机，健全完善公共资源交易综合监管机制，发挥综合监管的优势，强化行业监管作用，充分整合职能部门执法力量，构建执法人员“大统筹、大整合、大培训、大检查”工作模式，推动信息跨部门、跨行业、跨层级共享，形成“一窗受理、一站办结、一网覆盖”监管执法格局，促进部门分散监管向部门联动监管职能转变</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，确保我区专项整治工作有力有序推进</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黑体" w:hAnsi="黑体" w:eastAsia="黑体" w:cs="黑体"/>
          <w:i w:val="0"/>
          <w:iCs w:val="0"/>
          <w:caps w:val="0"/>
          <w:color w:val="000000" w:themeColor="text1"/>
          <w:spacing w:val="0"/>
          <w:sz w:val="32"/>
          <w:szCs w:val="32"/>
          <w:shd w:val="clear" w:fill="FFFFFF"/>
          <w14:textFill>
            <w14:solidFill>
              <w14:schemeClr w14:val="tx1"/>
            </w14:solidFill>
          </w14:textFill>
        </w:rPr>
      </w:pPr>
      <w:r>
        <w:rPr>
          <w:rFonts w:hint="eastAsia" w:ascii="黑体" w:hAnsi="黑体" w:eastAsia="黑体" w:cs="黑体"/>
          <w:i w:val="0"/>
          <w:iCs w:val="0"/>
          <w:caps w:val="0"/>
          <w:color w:val="000000" w:themeColor="text1"/>
          <w:spacing w:val="0"/>
          <w:sz w:val="32"/>
          <w:szCs w:val="32"/>
          <w:shd w:val="clear" w:fill="FFFFFF"/>
          <w14:textFill>
            <w14:solidFill>
              <w14:schemeClr w14:val="tx1"/>
            </w14:solidFill>
          </w14:textFill>
        </w:rPr>
        <w:t>三、基本原则</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（一）坚持党的领导。</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进一步提高思想认识，加强协调配合，在</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委</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政府的领导下，更好的落实优化招投标领域营商环境相关政策方针，稳步推进公共资源交易综合监管改革探索。</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（二）突出问题导向。</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按照现行公共资源交易执法体系，存在监管职能分散、监管事项交叉、监管效率低下等突出问题。通过改革优化公共资源交易服务、创新监管机制、健全制度规则和标准，为全</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公共资源交易领域依法行政、依法监督提供更加有效的支撑。</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（三）建立责任机制。</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建立健全权责明确、透明高效的监管机制体系，进一步明确职责、落实责任，把职责理得更清、把责任落得更实、把问题改得更到位、把结果用得更有效，形成良好的正向反馈，实现市场主体和交易过程信息</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全程</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记录、实时交互、去向可查、监督留痕、责任追究。</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黑体" w:hAnsi="黑体" w:eastAsia="黑体" w:cs="黑体"/>
          <w:i w:val="0"/>
          <w:iCs w:val="0"/>
          <w:caps w:val="0"/>
          <w:color w:val="000000" w:themeColor="text1"/>
          <w:spacing w:val="0"/>
          <w:sz w:val="32"/>
          <w:szCs w:val="32"/>
          <w:shd w:val="clear" w:fill="FFFFFF"/>
          <w14:textFill>
            <w14:solidFill>
              <w14:schemeClr w14:val="tx1"/>
            </w14:solidFill>
          </w14:textFill>
        </w:rPr>
      </w:pPr>
      <w:r>
        <w:rPr>
          <w:rFonts w:hint="eastAsia" w:ascii="黑体" w:hAnsi="黑体" w:eastAsia="黑体" w:cs="黑体"/>
          <w:i w:val="0"/>
          <w:iCs w:val="0"/>
          <w:caps w:val="0"/>
          <w:color w:val="000000" w:themeColor="text1"/>
          <w:spacing w:val="0"/>
          <w:sz w:val="32"/>
          <w:szCs w:val="32"/>
          <w:shd w:val="clear" w:fill="FFFFFF"/>
          <w14:textFill>
            <w14:solidFill>
              <w14:schemeClr w14:val="tx1"/>
            </w14:solidFill>
          </w14:textFill>
        </w:rPr>
        <w:t>四、重点任务</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（一）办公联席——部门联合，职能统筹。</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整合各部门专业力量，建立联席办公机制，积极推进公共资源交易综合监管联动执法改革。成立</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黄州区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公共资源交易综合监管联动执法工作领导小组（以下简称领导小组），领导小组办公室设在</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公共资源交易监督管理局（</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政务服务和大数据管理局），负责建立公共资源交易综合监管联动执法工作机制，日常监管工作的安排部署和案件办理的组织协调。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（二）力量联合——统一队伍，综合调配。</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综合监管机构联合行政监督部门，建立相对固定的执法人员库，整合执法力量，统一调配使用。</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1.统筹执法力量。</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从</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住房和城乡建设局、</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交通运输局、</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水利和湖泊局、</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农业农村局等行政监督部门抽调具备执法资格的业务骨干</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组建执法人员信息库</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，对执法检查过程中发现的问题和投诉举报统一受理、分类处置，实现“一站式”办公。</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2.明确职责分工。</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根据《湖北省公共资源交易联动监督管理办法》（鄂公管委〔2019〕1号）要求，有关行政监督部门依据各自职责，依法对进入公共资源交易平台的招标投标活动实施全过程监督管理，参与“双随机一公开”部门联合执法检查工作，依法处理出现的举报、投诉或交办件，处理公共资源招标投标活动中的争议和矛盾，依法查处有关违法违规行为。</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（三）信息联通——一网覆盖，互联共享。</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充分利用“省招标投标电子监督平台”实施在线监管，形成以项目为单位的“互联网+监管”全链条监管工作格局。</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1.在线实时监管。</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充分利用“省招标投标电子监督平台”实时监管功能，实现在线监督“一张网”。在线对招标、投标、开标、评标各环节实施全流程监督，做到在线反馈、实时记录、全程留痕，预警处理各类问题，实现部门信息互联，提升监管效率和精度。</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2.在线日常检查。</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对进入</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公共资源交易平台的项目，从项目注册、发布资格预审文件或招标文件、答疑澄清、评标报告、评标结果公示、中标结果公示及中标通知书、合同</w:t>
      </w:r>
      <w:r>
        <w:rPr>
          <w:rFonts w:hint="eastAsia" w:ascii="仿宋_GB2312" w:hAnsi="仿宋_GB2312" w:eastAsia="仿宋_GB2312" w:cs="仿宋_GB2312"/>
          <w:i w:val="0"/>
          <w:iCs w:val="0"/>
          <w:caps w:val="0"/>
          <w:color w:val="000000" w:themeColor="text1"/>
          <w:spacing w:val="0"/>
          <w:sz w:val="32"/>
          <w:szCs w:val="32"/>
          <w:shd w:val="clear" w:fill="FFFFFF"/>
          <w:lang w:val="en-US" w:eastAsia="zh-CN"/>
          <w14:textFill>
            <w14:solidFill>
              <w14:schemeClr w14:val="tx1"/>
            </w14:solidFill>
          </w14:textFill>
        </w:rPr>
        <w:t>在线签订</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等环节合法合规性进行随机抽查，按照“谁主管，谁监管”的原则，发现问题立即处理。</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3.在线投诉处理。</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在线依法受理进入</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公共资源交易平台的项目当事人或者利害关系人提交的投诉，按照法定职责进行自办、分办、转办，并向投诉人在线反馈办理结果。从收件在线审核、在线受理、调查核实、投诉处理</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决定审批和送达、归档等方面进行规范。</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（四）检查联动——密切协作，闭环管理。</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建立联动检查机制，联合开展巡视、</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巡察、</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审计反馈问题整改、“双随机一公开”联合检查、各类专项治理等工作，避免多头重复执法。</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default"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1.加强主体监管。</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联合</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发改部门</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严格监督招标人（项目法人）应进必进、应招必招，严格执行项目核准的招标范围、招标方式和招标组织形式，应用湖北省统一发布的招标文件示范文本，不得设置歧视性、排他性条款，不得随意提高资质等级、增设资质种类及其他各类不合理限制和壁</w:t>
      </w:r>
      <w:r>
        <w:rPr>
          <w:rFonts w:hint="default"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垒。</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2.加大检查力度。</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采用“双随机一公开”方式每年不少于</w:t>
      </w:r>
      <w:r>
        <w:rPr>
          <w:rFonts w:hint="eastAsia" w:ascii="仿宋_GB2312" w:hAnsi="仿宋_GB2312" w:eastAsia="仿宋_GB2312" w:cs="仿宋_GB2312"/>
          <w:i w:val="0"/>
          <w:iCs w:val="0"/>
          <w:caps w:val="0"/>
          <w:color w:val="000000" w:themeColor="text1"/>
          <w:spacing w:val="0"/>
          <w:sz w:val="32"/>
          <w:szCs w:val="32"/>
          <w:shd w:val="clear" w:fill="FFFFFF"/>
          <w:lang w:val="en-US" w:eastAsia="zh-CN"/>
          <w14:textFill>
            <w14:solidFill>
              <w14:schemeClr w14:val="tx1"/>
            </w14:solidFill>
          </w14:textFill>
        </w:rPr>
        <w:t>2</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次的专项监督执法检查，由领导小组办公室统一建立抽查事项清单、抽查项目库和执法人员名录库，按照不少于交易总数的5%比例抽取具体项目，对各市场主体逐一进行核查，实现标前、标中、标后执法检查全覆盖。</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3.联合整改督办。</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统一联合开展招投标领域专项整治行动及巡视、</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巡察、</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审计反馈问题整改工作，集中进行会商研讨，制定整改方案，细化分解整改任务，明确整改措施，提出完成时限，落实整改责任，做到事事有回音、件件有着落。</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4.标后履约监督。</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全面核查施工单位项目主要管理人员到岗履职情况、项目节点工期合同约定完成情况、农民工工资支付情况、专业分包单位资质报审及项目建设工程质量是否符合规范标准等。针对不诚信履约的施工单位，项目</w:t>
      </w:r>
      <w:r>
        <w:rPr>
          <w:rFonts w:hint="eastAsia" w:ascii="仿宋_GB2312" w:hAnsi="仿宋_GB2312" w:eastAsia="仿宋_GB2312" w:cs="仿宋_GB2312"/>
          <w:i w:val="0"/>
          <w:iCs w:val="0"/>
          <w:caps w:val="0"/>
          <w:color w:val="000000" w:themeColor="text1"/>
          <w:spacing w:val="0"/>
          <w:sz w:val="32"/>
          <w:szCs w:val="32"/>
          <w:shd w:val="clear" w:fill="FFFFFF"/>
          <w:lang w:val="en-US" w:eastAsia="zh-CN"/>
          <w14:textFill>
            <w14:solidFill>
              <w14:schemeClr w14:val="tx1"/>
            </w14:solidFill>
          </w14:textFill>
        </w:rPr>
        <w:t>业主</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单位可提请</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公共资源交易综合监管联动执法工作领导小组</w:t>
      </w:r>
      <w:r>
        <w:rPr>
          <w:rFonts w:hint="eastAsia" w:ascii="仿宋_GB2312" w:hAnsi="仿宋_GB2312" w:eastAsia="仿宋_GB2312" w:cs="仿宋_GB2312"/>
          <w:i w:val="0"/>
          <w:iCs w:val="0"/>
          <w:caps w:val="0"/>
          <w:color w:val="000000" w:themeColor="text1"/>
          <w:spacing w:val="0"/>
          <w:sz w:val="32"/>
          <w:szCs w:val="32"/>
          <w:shd w:val="clear" w:fill="FFFFFF"/>
          <w:lang w:val="en-US" w:eastAsia="zh-CN"/>
          <w14:textFill>
            <w14:solidFill>
              <w14:schemeClr w14:val="tx1"/>
            </w14:solidFill>
          </w14:textFill>
        </w:rPr>
        <w:t>办公室</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进行专项联合检查</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要求其限期整改并承诺保质保量完成项目施工</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（五）案件联办——“一窗受理”“一站办结”。</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发挥综合监管、行政监督和司法机关办案资源优势，合力打击公共资源交易中的违法违规行为，对联办案件实行集中会商、分类处置。</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1.实行案件联办。</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充分运用综合监管机构、行政监督部门监管职能优势，实行“一窗受理、集中研判、统一立案、联合调查”，按照行政法定权责不变、行政处罚权属不变的原则，由具有法定权责部门依法依规在行政处罚程序中作出处理决定。</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2.规范投诉举报。</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压缩投诉举报办理时限，领导小组办公室应在自收件起</w:t>
      </w:r>
      <w:r>
        <w:rPr>
          <w:rFonts w:hint="eastAsia" w:ascii="仿宋_GB2312" w:hAnsi="仿宋_GB2312" w:eastAsia="仿宋_GB2312" w:cs="仿宋_GB2312"/>
          <w:i w:val="0"/>
          <w:iCs w:val="0"/>
          <w:caps w:val="0"/>
          <w:color w:val="000000" w:themeColor="text1"/>
          <w:spacing w:val="0"/>
          <w:sz w:val="32"/>
          <w:szCs w:val="32"/>
          <w:shd w:val="clear" w:fill="FFFFFF"/>
          <w:lang w:val="en-US" w:eastAsia="zh-CN"/>
          <w14:textFill>
            <w14:solidFill>
              <w14:schemeClr w14:val="tx1"/>
            </w14:solidFill>
          </w14:textFill>
        </w:rPr>
        <w:t>1</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个工作日内作出是否受理投诉、</w:t>
      </w:r>
      <w:r>
        <w:rPr>
          <w:rFonts w:hint="eastAsia" w:ascii="仿宋_GB2312" w:hAnsi="仿宋_GB2312" w:eastAsia="仿宋_GB2312" w:cs="仿宋_GB2312"/>
          <w:i w:val="0"/>
          <w:iCs w:val="0"/>
          <w:caps w:val="0"/>
          <w:color w:val="000000" w:themeColor="text1"/>
          <w:spacing w:val="0"/>
          <w:sz w:val="32"/>
          <w:szCs w:val="32"/>
          <w:shd w:val="clear" w:fill="FFFFFF"/>
          <w:lang w:val="en-US" w:eastAsia="zh-CN"/>
          <w14:textFill>
            <w14:solidFill>
              <w14:schemeClr w14:val="tx1"/>
            </w14:solidFill>
          </w14:textFill>
        </w:rPr>
        <w:t>3</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日内是否受理举报的决定，在1</w:t>
      </w:r>
      <w:r>
        <w:rPr>
          <w:rFonts w:hint="eastAsia" w:ascii="仿宋_GB2312" w:hAnsi="仿宋_GB2312" w:eastAsia="仿宋_GB2312" w:cs="仿宋_GB2312"/>
          <w:i w:val="0"/>
          <w:iCs w:val="0"/>
          <w:caps w:val="0"/>
          <w:color w:val="000000" w:themeColor="text1"/>
          <w:spacing w:val="0"/>
          <w:sz w:val="32"/>
          <w:szCs w:val="32"/>
          <w:shd w:val="clear" w:fill="FFFFFF"/>
          <w:lang w:val="en-US" w:eastAsia="zh-CN"/>
          <w14:textFill>
            <w14:solidFill>
              <w14:schemeClr w14:val="tx1"/>
            </w14:solidFill>
          </w14:textFill>
        </w:rPr>
        <w:t>0</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个工作日内办结投诉、举报。畅通线上投诉举报渠道，全面实现投诉举报线上受理办结。</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3.实现流程再造。</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梳理</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行政监督部门法定权责及职责分工，实现综合监管联动执法流程再造，对投诉举报或行政检查发现的违法违规案件实行清单管理，统筹案件前期、中期和后期的衔接与协作。规范行政执法，投诉举报处理、部门交办联合办案流程，严格执行行政层级审批制度。</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4.失信联合奖惩。</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综合运用行政性、市场性、社会性等奖惩手段，实施守信联合激励和失信联合惩戒，加大招标代理机构行为监管，开展联合信用评价管理，形成综合监督机构与行政监督部门联动管理，招标代理机构自律管理，社会舆论广泛监督的共同治理格局。</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left"/>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5.“一案三查”机制。</w:t>
      </w:r>
      <w:r>
        <w:rPr>
          <w:rFonts w:hint="eastAsia" w:ascii="仿宋_GB2312" w:hAnsi="仿宋_GB2312" w:eastAsia="仿宋_GB2312" w:cs="仿宋_GB2312"/>
          <w:i w:val="0"/>
          <w:iCs w:val="0"/>
          <w:caps w:val="0"/>
          <w:color w:val="000000" w:themeColor="text1"/>
          <w:spacing w:val="0"/>
          <w:sz w:val="32"/>
          <w:szCs w:val="32"/>
          <w:shd w:val="clear" w:fill="FFFFFF"/>
          <w:lang w:val="en-US" w:eastAsia="zh-CN"/>
          <w14:textFill>
            <w14:solidFill>
              <w14:schemeClr w14:val="tx1"/>
            </w14:solidFill>
          </w14:textFill>
        </w:rPr>
        <w:t>凡发现围标串标、转包和违法分包问题，既要严肃查处投标人的违法行为，又要核查追究招标人的主体责任和行政监督部门监督责任。行政监督部门对投标人的违法行为依法进行行政处理，综合监督管理机构对招标人和行政监督部门涉嫌履职不力的及时移交纪检监察机关查处问责。</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黑体" w:hAnsi="黑体" w:eastAsia="黑体" w:cs="黑体"/>
          <w:i w:val="0"/>
          <w:iCs w:val="0"/>
          <w:caps w:val="0"/>
          <w:color w:val="000000" w:themeColor="text1"/>
          <w:spacing w:val="0"/>
          <w:sz w:val="32"/>
          <w:szCs w:val="32"/>
          <w:shd w:val="clear" w:fill="FFFFFF"/>
          <w14:textFill>
            <w14:solidFill>
              <w14:schemeClr w14:val="tx1"/>
            </w14:solidFill>
          </w14:textFill>
        </w:rPr>
      </w:pPr>
      <w:r>
        <w:rPr>
          <w:rFonts w:hint="eastAsia" w:ascii="黑体" w:hAnsi="黑体" w:eastAsia="黑体" w:cs="黑体"/>
          <w:i w:val="0"/>
          <w:iCs w:val="0"/>
          <w:caps w:val="0"/>
          <w:color w:val="000000" w:themeColor="text1"/>
          <w:spacing w:val="0"/>
          <w:sz w:val="32"/>
          <w:szCs w:val="32"/>
          <w:shd w:val="clear" w:fill="FFFFFF"/>
          <w14:textFill>
            <w14:solidFill>
              <w14:schemeClr w14:val="tx1"/>
            </w14:solidFill>
          </w14:textFill>
        </w:rPr>
        <w:t>五、实施步骤</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（一）启动部署阶段（202</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3</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年</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3</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月至</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4</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月中旬）</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成立</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黄州区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公共资源交易综合监管联动执法工作领导小组，设立领导小组办公室，从</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住房和城乡建设局、</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交通运输局、</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水利和湖泊局、</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农业农村局等行政监督部门抽调具备执法资格的业务骨干</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建立联合执法人员信息库</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，打通行业部门，有效整合执法力量。</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（二）实施创建阶段（2022年</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4</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月下旬至</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8</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月底）</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制定印发《</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黄州区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公共资源交易综合监管联动执法操作规程》，进一步明确相关部门法定职权，建立公共资源交易监管执法人员“大培训、大检查”工作模式，扎实开展招投标业务培训工作，着力提升执法人员法律法规运用能力，联合开展“双随机一公开”检查工作，推动信息共建共享，形成“一窗受理、一站办结、一网覆盖”监管执法格局。</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（三）总结提升阶段（2022年</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9</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月至1</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val="en-US" w:eastAsia="zh-CN"/>
          <w14:textFill>
            <w14:solidFill>
              <w14:schemeClr w14:val="tx1"/>
            </w14:solidFill>
          </w14:textFill>
        </w:rPr>
        <w:t>1</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月</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lang w:eastAsia="zh-CN"/>
          <w14:textFill>
            <w14:solidFill>
              <w14:schemeClr w14:val="tx1"/>
            </w14:solidFill>
          </w14:textFill>
        </w:rPr>
        <w:t>下旬</w:t>
      </w: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深入总结提炼改革经验和实际运行中存在的问题，主动邀请省、市公共资源交易监督管理局和省、市营商办有关专家检查、指导，及时梳理反馈意见，建立健全体制机制，务求取得新的突破。</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方正仿宋_GB2312" w:hAnsi="方正仿宋_GB2312" w:eastAsia="方正仿宋_GB2312" w:cs="方正仿宋_GB2312"/>
          <w:i w:val="0"/>
          <w:iCs w:val="0"/>
          <w:caps w:val="0"/>
          <w:color w:val="000000" w:themeColor="text1"/>
          <w:spacing w:val="0"/>
          <w:sz w:val="32"/>
          <w:szCs w:val="32"/>
          <w14:textFill>
            <w14:solidFill>
              <w14:schemeClr w14:val="tx1"/>
            </w14:solidFill>
          </w14:textFill>
        </w:rPr>
      </w:pPr>
      <w:r>
        <w:rPr>
          <w:rFonts w:hint="eastAsia" w:ascii="黑体" w:hAnsi="黑体" w:eastAsia="黑体" w:cs="黑体"/>
          <w:i w:val="0"/>
          <w:iCs w:val="0"/>
          <w:caps w:val="0"/>
          <w:color w:val="000000" w:themeColor="text1"/>
          <w:spacing w:val="0"/>
          <w:sz w:val="32"/>
          <w:szCs w:val="32"/>
          <w:shd w:val="clear" w:fill="FFFFFF"/>
          <w14:textFill>
            <w14:solidFill>
              <w14:schemeClr w14:val="tx1"/>
            </w14:solidFill>
          </w14:textFill>
        </w:rPr>
        <w:t>六、保障措施</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（一）强化责任落实。</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各相关部门要进一步提高政治站位，统一思想，凝聚共识，按照任务要求，压实责任，强化举措，狠抓落实。同时要强化部门协同联动，形成齐抓共管合力，不断提升公共资源综合监管能力。</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（二）加强统筹调度。</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建立工作调度机制，定期召开领导小组会议，及时分析研判，提出意见建议，有效解决相关问题。领导小组办公室要做好统筹协调，及时收集汇总相关信息，报送工作进展情况。各相关部门要加强信息互联互通和整体联动配合，扎实推进公共资源交易综合监管改革工作。</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Style w:val="8"/>
          <w:rFonts w:hint="eastAsia" w:ascii="楷体_GB2312" w:hAnsi="楷体_GB2312" w:eastAsia="楷体_GB2312" w:cs="楷体_GB2312"/>
          <w:b w:val="0"/>
          <w:bCs w:val="0"/>
          <w:i w:val="0"/>
          <w:iCs w:val="0"/>
          <w:caps w:val="0"/>
          <w:color w:val="000000" w:themeColor="text1"/>
          <w:spacing w:val="0"/>
          <w:sz w:val="32"/>
          <w:szCs w:val="32"/>
          <w:shd w:val="clear" w:fill="FFFFFF"/>
          <w14:textFill>
            <w14:solidFill>
              <w14:schemeClr w14:val="tx1"/>
            </w14:solidFill>
          </w14:textFill>
        </w:rPr>
        <w:t>（三）严明工作纪律。</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加强对公共资源交易领域公共服务，行政监督和市场规范等工作情况的监督检查，定期向社会公开相关工作执行情况；加强对公共资源交易监管部门、公共资源交易中心及其工作人员的执纪监督，对推进工作不力、整合不到位的，要进行通报，确保各项任务措施落实到位。</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1481" w:leftChars="304" w:right="0" w:hanging="843" w:hangingChars="300"/>
        <w:jc w:val="both"/>
        <w:textAlignment w:val="auto"/>
        <w:rPr>
          <w:rFonts w:hint="eastAsia" w:ascii="仿宋_GB2312" w:hAnsi="仿宋_GB2312" w:eastAsia="仿宋_GB2312" w:cs="仿宋_GB2312"/>
          <w:i w:val="0"/>
          <w:iCs w:val="0"/>
          <w:caps w:val="0"/>
          <w:color w:val="000000" w:themeColor="text1"/>
          <w:spacing w:val="0"/>
          <w:w w:val="88"/>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w w:val="88"/>
          <w:sz w:val="32"/>
          <w:szCs w:val="32"/>
          <w:shd w:val="clear" w:fill="FFFFFF"/>
          <w14:textFill>
            <w14:solidFill>
              <w14:schemeClr w14:val="tx1"/>
            </w14:solidFill>
          </w14:textFill>
        </w:rPr>
        <w:t>附件：</w:t>
      </w:r>
      <w:r>
        <w:rPr>
          <w:rFonts w:hint="eastAsia" w:ascii="仿宋_GB2312" w:hAnsi="仿宋_GB2312" w:eastAsia="仿宋_GB2312" w:cs="仿宋_GB2312"/>
          <w:i w:val="0"/>
          <w:iCs w:val="0"/>
          <w:caps w:val="0"/>
          <w:color w:val="000000" w:themeColor="text1"/>
          <w:spacing w:val="0"/>
          <w:w w:val="88"/>
          <w:sz w:val="32"/>
          <w:szCs w:val="32"/>
          <w:shd w:val="clear" w:fill="FFFFFF"/>
          <w:lang w:eastAsia="zh-CN"/>
          <w14:textFill>
            <w14:solidFill>
              <w14:schemeClr w14:val="tx1"/>
            </w14:solidFill>
          </w14:textFill>
        </w:rPr>
        <w:t>黄州区</w:t>
      </w:r>
      <w:r>
        <w:rPr>
          <w:rFonts w:hint="eastAsia" w:ascii="仿宋_GB2312" w:hAnsi="仿宋_GB2312" w:eastAsia="仿宋_GB2312" w:cs="仿宋_GB2312"/>
          <w:i w:val="0"/>
          <w:iCs w:val="0"/>
          <w:caps w:val="0"/>
          <w:color w:val="000000" w:themeColor="text1"/>
          <w:spacing w:val="0"/>
          <w:w w:val="88"/>
          <w:sz w:val="32"/>
          <w:szCs w:val="32"/>
          <w:shd w:val="clear" w:fill="FFFFFF"/>
          <w14:textFill>
            <w14:solidFill>
              <w14:schemeClr w14:val="tx1"/>
            </w14:solidFill>
          </w14:textFill>
        </w:rPr>
        <w:t>公共资源交易综合监管联动执法工作领导小组成员名单</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right="0"/>
        <w:jc w:val="both"/>
        <w:textAlignment w:val="auto"/>
        <w:rPr>
          <w:rFonts w:hint="eastAsia" w:ascii="黑体" w:hAnsi="黑体" w:eastAsia="黑体" w:cs="黑体"/>
          <w:i w:val="0"/>
          <w:iCs w:val="0"/>
          <w:caps w:val="0"/>
          <w:color w:val="000000" w:themeColor="text1"/>
          <w:spacing w:val="0"/>
          <w:sz w:val="32"/>
          <w:szCs w:val="32"/>
          <w:shd w:val="clear" w:fill="FFFFFF"/>
          <w14:textFill>
            <w14:solidFill>
              <w14:schemeClr w14:val="tx1"/>
            </w14:solidFill>
          </w14:textFill>
        </w:rPr>
      </w:pPr>
      <w:r>
        <w:rPr>
          <w:rFonts w:hint="eastAsia" w:ascii="黑体" w:hAnsi="黑体" w:eastAsia="黑体" w:cs="黑体"/>
          <w:i w:val="0"/>
          <w:iCs w:val="0"/>
          <w:caps w:val="0"/>
          <w:color w:val="000000" w:themeColor="text1"/>
          <w:spacing w:val="0"/>
          <w:sz w:val="32"/>
          <w:szCs w:val="32"/>
          <w:shd w:val="clear" w:fill="FFFFFF"/>
          <w14:textFill>
            <w14:solidFill>
              <w14:schemeClr w14:val="tx1"/>
            </w14:solidFill>
          </w14:textFill>
        </w:rPr>
        <w:t>附件：</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right="0"/>
        <w:jc w:val="center"/>
        <w:textAlignment w:val="auto"/>
        <w:rPr>
          <w:rFonts w:hint="eastAsia" w:ascii="方正小标宋简体" w:hAnsi="方正小标宋简体" w:eastAsia="方正小标宋简体" w:cs="方正小标宋简体"/>
          <w:i w:val="0"/>
          <w:iCs w:val="0"/>
          <w:caps w:val="0"/>
          <w:color w:val="000000" w:themeColor="text1"/>
          <w:spacing w:val="0"/>
          <w:sz w:val="44"/>
          <w:szCs w:val="44"/>
          <w14:textFill>
            <w14:solidFill>
              <w14:schemeClr w14:val="tx1"/>
            </w14:solidFill>
          </w14:textFill>
        </w:rPr>
      </w:pPr>
      <w:r>
        <w:rPr>
          <w:rFonts w:hint="eastAsia" w:ascii="方正小标宋简体" w:hAnsi="方正小标宋简体" w:eastAsia="方正小标宋简体" w:cs="方正小标宋简体"/>
          <w:i w:val="0"/>
          <w:iCs w:val="0"/>
          <w:caps w:val="0"/>
          <w:color w:val="000000" w:themeColor="text1"/>
          <w:spacing w:val="0"/>
          <w:sz w:val="44"/>
          <w:szCs w:val="44"/>
          <w:shd w:val="clear" w:fill="FFFFFF"/>
          <w:lang w:eastAsia="zh-CN"/>
          <w14:textFill>
            <w14:solidFill>
              <w14:schemeClr w14:val="tx1"/>
            </w14:solidFill>
          </w14:textFill>
        </w:rPr>
        <w:t>黄州区</w:t>
      </w:r>
      <w:r>
        <w:rPr>
          <w:rFonts w:hint="eastAsia" w:ascii="方正小标宋简体" w:hAnsi="方正小标宋简体" w:eastAsia="方正小标宋简体" w:cs="方正小标宋简体"/>
          <w:i w:val="0"/>
          <w:iCs w:val="0"/>
          <w:caps w:val="0"/>
          <w:color w:val="000000" w:themeColor="text1"/>
          <w:spacing w:val="0"/>
          <w:sz w:val="44"/>
          <w:szCs w:val="44"/>
          <w:shd w:val="clear" w:fill="FFFFFF"/>
          <w14:textFill>
            <w14:solidFill>
              <w14:schemeClr w14:val="tx1"/>
            </w14:solidFill>
          </w14:textFill>
        </w:rPr>
        <w:t>公共资源交易综合监管联动执法工作领导小组成员名单</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60" w:lineRule="exact"/>
        <w:ind w:left="0" w:right="0" w:firstLine="640" w:firstLineChars="200"/>
        <w:textAlignment w:val="auto"/>
        <w:rPr>
          <w:rFonts w:hint="eastAsia" w:ascii="方正仿宋_GB2312" w:hAnsi="方正仿宋_GB2312" w:eastAsia="方正仿宋_GB2312" w:cs="方正仿宋_GB2312"/>
          <w:i w:val="0"/>
          <w:iCs w:val="0"/>
          <w:caps w:val="0"/>
          <w:color w:val="000000" w:themeColor="text1"/>
          <w:spacing w:val="0"/>
          <w:sz w:val="32"/>
          <w:szCs w:val="32"/>
          <w:shd w:val="clear" w:fill="FFFFFF"/>
          <w14:textFill>
            <w14:solidFill>
              <w14:schemeClr w14:val="tx1"/>
            </w14:solidFill>
          </w14:textFill>
        </w:rPr>
      </w:pP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区公共资源交易监督综合监管联动执法工作领导小组设</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组长</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1名、副</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组长</w:t>
      </w:r>
      <w:r>
        <w:rPr>
          <w:rFonts w:hint="eastAsia" w:ascii="仿宋_GB2312" w:hAnsi="仿宋_GB2312" w:eastAsia="仿宋_GB2312" w:cs="仿宋_GB2312"/>
          <w:i w:val="0"/>
          <w:iCs w:val="0"/>
          <w:caps w:val="0"/>
          <w:color w:val="000000" w:themeColor="text1"/>
          <w:spacing w:val="0"/>
          <w:sz w:val="32"/>
          <w:szCs w:val="32"/>
          <w:shd w:val="clear" w:fill="FFFFFF"/>
          <w:lang w:val="en-US" w:eastAsia="zh-CN"/>
          <w14:textFill>
            <w14:solidFill>
              <w14:schemeClr w14:val="tx1"/>
            </w14:solidFill>
          </w14:textFill>
        </w:rPr>
        <w:t>2</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名。</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组长</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由分管公共资源交易监督管理工作的副区长担任，副</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组长</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由区政府办副主任</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区公共资源交易监督管理局主要负责同志担任。</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成员由区发展和改革局、区科学技术和经济信息化局、区公安分局、区民政局、区司法局、区财政局（国有资产监督管理局）、区审计局、区自然资源和规划局、区生态环境</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分</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局、区住房和城乡建设局、区交通运输局、区水利和湖泊局、区农业农村局、区商务局、区文化和旅游局、区卫生健康局、区市场监督管理局、区医疗保障局、区公共资源交易中心（区政府采购中心）、区税务局、区公共资源交易监督管理局分管同志担任。</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区公共资源交易监督综合监管联动执法工作领导小组办公室设在区公共资源交易监督管理局，办公室主任由区公共资源交易监督管理局主要负责同志兼任。</w:t>
      </w:r>
      <w:r>
        <w:rPr>
          <w:rFonts w:hint="eastAsia" w:ascii="仿宋_GB2312" w:hAnsi="仿宋_GB2312" w:eastAsia="仿宋_GB2312" w:cs="仿宋_GB2312"/>
          <w:i w:val="0"/>
          <w:iCs w:val="0"/>
          <w:caps w:val="0"/>
          <w:color w:val="000000" w:themeColor="text1"/>
          <w:spacing w:val="0"/>
          <w:sz w:val="32"/>
          <w:szCs w:val="32"/>
          <w:shd w:val="clear" w:fill="FFFFFF"/>
          <w:lang w:eastAsia="zh-CN"/>
          <w14:textFill>
            <w14:solidFill>
              <w14:schemeClr w14:val="tx1"/>
            </w14:solidFill>
          </w14:textFill>
        </w:rPr>
        <w:t>区</w:t>
      </w: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公共资源交易监督管理局分管副局长兼任办公室副主任，办公室工作人员由相关行政监督部门派出具备执法资格的业务骨干组成，具体负责公共资源交易综合监管联动执法日常工作。</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领导小组办公室主要职责：</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一是对依法进入公共资源交易中心的招标投标活动实施全过程监督管理；</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二是组织开展“双随机一公开”部门联合执法检查工作；</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三是投标领域中出现的举报、投诉或交办件；</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四是协调处理公共资源招标投标活动中的争议和矛盾，依法查处公共资源招标投标活动中的违法行为；</w:t>
      </w:r>
    </w:p>
    <w:p>
      <w:pPr>
        <w:pStyle w:val="5"/>
        <w:keepNext w:val="0"/>
        <w:keepLines w:val="0"/>
        <w:pageBreakBefore w:val="0"/>
        <w:widowControl w:val="0"/>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40" w:lineRule="exact"/>
        <w:ind w:left="0" w:right="0" w:firstLine="640" w:firstLineChars="200"/>
        <w:jc w:val="both"/>
        <w:textAlignment w:val="auto"/>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pPr>
      <w:r>
        <w:rPr>
          <w:rFonts w:hint="eastAsia" w:ascii="仿宋_GB2312" w:hAnsi="仿宋_GB2312" w:eastAsia="仿宋_GB2312" w:cs="仿宋_GB2312"/>
          <w:i w:val="0"/>
          <w:iCs w:val="0"/>
          <w:caps w:val="0"/>
          <w:color w:val="000000" w:themeColor="text1"/>
          <w:spacing w:val="0"/>
          <w:sz w:val="32"/>
          <w:szCs w:val="32"/>
          <w:shd w:val="clear" w:fill="FFFFFF"/>
          <w14:textFill>
            <w14:solidFill>
              <w14:schemeClr w14:val="tx1"/>
            </w14:solidFill>
          </w14:textFill>
        </w:rPr>
        <w:t>五是办公室承办的常规性工作。</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5F334885-041D-411F-81EE-46AD800FF0A8}"/>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embedRegular r:id="rId2" w:fontKey="{26E7C684-499F-4C96-99E8-F9BE42643CE1}"/>
  </w:font>
  <w:font w:name="方正小标宋简体">
    <w:panose1 w:val="02000000000000000000"/>
    <w:charset w:val="86"/>
    <w:family w:val="auto"/>
    <w:pitch w:val="default"/>
    <w:sig w:usb0="00000001" w:usb1="080E0000" w:usb2="00000000" w:usb3="00000000" w:csb0="00040000" w:csb1="00000000"/>
    <w:embedRegular r:id="rId3" w:fontKey="{9D65EFD8-86D0-4E4F-A004-8D55391EC5E1}"/>
  </w:font>
  <w:font w:name="楷体_GB2312">
    <w:panose1 w:val="02010609030101010101"/>
    <w:charset w:val="86"/>
    <w:family w:val="auto"/>
    <w:pitch w:val="default"/>
    <w:sig w:usb0="00000001" w:usb1="080E0000" w:usb2="00000000" w:usb3="00000000" w:csb0="00040000" w:csb1="00000000"/>
    <w:embedRegular r:id="rId4" w:fontKey="{92C91DCE-CD07-444B-9C91-44B4857D5777}"/>
  </w:font>
  <w:font w:name="方正仿宋_GB2312">
    <w:panose1 w:val="02000000000000000000"/>
    <w:charset w:val="86"/>
    <w:family w:val="auto"/>
    <w:pitch w:val="default"/>
    <w:sig w:usb0="A00002BF" w:usb1="184F6CFA" w:usb2="00000012" w:usb3="00000000" w:csb0="00040001" w:csb1="00000000"/>
    <w:embedRegular r:id="rId5" w:fontKey="{2EB5ADCD-8393-4579-9CBA-B1912D9E3F53}"/>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7"/>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WU2ODMwNjNjNTUxNWUzMWRmN2RiMTY4YzIxODBhOWUifQ=="/>
  </w:docVars>
  <w:rsids>
    <w:rsidRoot w:val="786860E4"/>
    <w:rsid w:val="039B48A8"/>
    <w:rsid w:val="0C3657DC"/>
    <w:rsid w:val="16930926"/>
    <w:rsid w:val="1D9531D6"/>
    <w:rsid w:val="1FB75686"/>
    <w:rsid w:val="341755CE"/>
    <w:rsid w:val="3A981DEA"/>
    <w:rsid w:val="3F12422F"/>
    <w:rsid w:val="45833DF4"/>
    <w:rsid w:val="49D150D3"/>
    <w:rsid w:val="52691140"/>
    <w:rsid w:val="57B83706"/>
    <w:rsid w:val="62733C2E"/>
    <w:rsid w:val="6AAD65F4"/>
    <w:rsid w:val="6CF279C2"/>
    <w:rsid w:val="6EB54C63"/>
    <w:rsid w:val="728E089F"/>
    <w:rsid w:val="786860E4"/>
    <w:rsid w:val="797B3BF2"/>
    <w:rsid w:val="7EA45F4A"/>
    <w:rsid w:val="7FCF281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iPriority="99"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2"/>
    <w:basedOn w:val="1"/>
    <w:next w:val="1"/>
    <w:semiHidden/>
    <w:unhideWhenUsed/>
    <w:qFormat/>
    <w:uiPriority w:val="0"/>
    <w:pPr>
      <w:spacing w:before="0" w:beforeAutospacing="1" w:after="0" w:afterAutospacing="1"/>
      <w:jc w:val="left"/>
    </w:pPr>
    <w:rPr>
      <w:rFonts w:hint="eastAsia" w:ascii="宋体" w:hAnsi="宋体" w:eastAsia="宋体" w:cs="宋体"/>
      <w:b/>
      <w:bCs/>
      <w:kern w:val="0"/>
      <w:sz w:val="36"/>
      <w:szCs w:val="36"/>
      <w:lang w:val="en-US" w:eastAsia="zh-CN" w:bidi="ar"/>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First Indent 2"/>
    <w:basedOn w:val="3"/>
    <w:next w:val="1"/>
    <w:qFormat/>
    <w:uiPriority w:val="0"/>
    <w:pPr>
      <w:widowControl/>
      <w:spacing w:after="0" w:line="600" w:lineRule="atLeast"/>
      <w:ind w:left="0" w:leftChars="0" w:firstLine="420"/>
      <w:jc w:val="left"/>
    </w:pPr>
    <w:rPr>
      <w:rFonts w:ascii="Times New Roman" w:hAnsi="Times New Roman" w:eastAsia="仿宋_GB2312"/>
      <w:b/>
      <w:kern w:val="0"/>
      <w:sz w:val="24"/>
      <w:szCs w:val="22"/>
    </w:rPr>
  </w:style>
  <w:style w:type="paragraph" w:styleId="3">
    <w:name w:val="Body Text Indent"/>
    <w:basedOn w:val="1"/>
    <w:semiHidden/>
    <w:unhideWhenUsed/>
    <w:qFormat/>
    <w:uiPriority w:val="99"/>
    <w:pPr>
      <w:spacing w:after="120"/>
      <w:ind w:left="420" w:leftChars="200"/>
    </w:p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4699</Words>
  <Characters>4742</Characters>
  <Lines>0</Lines>
  <Paragraphs>0</Paragraphs>
  <TotalTime>31</TotalTime>
  <ScaleCrop>false</ScaleCrop>
  <LinksUpToDate>false</LinksUpToDate>
  <CharactersWithSpaces>4763</CharactersWithSpaces>
  <Application>WPS Office_11.1.0.14309_F1E327BC-269C-435d-A152-05C5408002CA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2023-03-29T03:50:00Z</dcterms:created>
  <dc:creator>喜欢</dc:creator>
  <cp:lastModifiedBy>喜欢</cp:lastModifiedBy>
  <cp:lastPrinted>2023-04-07T06:08:00Z</cp:lastPrinted>
  <dcterms:modified xsi:type="dcterms:W3CDTF">2023-06-07T03:35:56Z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621A075298864B25A44BD520AA39F8F2</vt:lpwstr>
  </property>
</Properties>
</file>