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color w:val="000000"/>
          <w:w w:val="100"/>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color w:val="000000"/>
          <w:w w:val="100"/>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color w:val="000000"/>
          <w:w w:val="100"/>
          <w:kern w:val="0"/>
          <w:sz w:val="44"/>
          <w:szCs w:val="4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w w:val="100"/>
          <w:sz w:val="44"/>
          <w:szCs w:val="44"/>
        </w:rPr>
      </w:pPr>
      <w:r>
        <w:rPr>
          <w:rFonts w:hint="eastAsia" w:ascii="方正小标宋简体" w:hAnsi="方正小标宋简体" w:eastAsia="方正小标宋简体" w:cs="方正小标宋简体"/>
          <w:color w:val="000000"/>
          <w:w w:val="100"/>
          <w:kern w:val="0"/>
          <w:sz w:val="44"/>
          <w:szCs w:val="44"/>
          <w:lang w:val="en-US" w:eastAsia="zh-CN" w:bidi="ar"/>
        </w:rPr>
        <w:t>关于进一步规范招标人行为</w:t>
      </w:r>
    </w:p>
    <w:p>
      <w:pPr>
        <w:keepNext w:val="0"/>
        <w:keepLines w:val="0"/>
        <w:pageBreakBefore w:val="0"/>
        <w:widowControl/>
        <w:suppressLineNumbers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w w:val="100"/>
          <w:sz w:val="44"/>
          <w:szCs w:val="44"/>
        </w:rPr>
      </w:pPr>
      <w:r>
        <w:rPr>
          <w:rFonts w:hint="eastAsia" w:ascii="方正小标宋简体" w:hAnsi="方正小标宋简体" w:eastAsia="方正小标宋简体" w:cs="方正小标宋简体"/>
          <w:color w:val="000000"/>
          <w:w w:val="100"/>
          <w:kern w:val="0"/>
          <w:sz w:val="44"/>
          <w:szCs w:val="44"/>
          <w:lang w:val="en-US" w:eastAsia="zh-CN" w:bidi="ar"/>
        </w:rPr>
        <w:t>加强事中事后监管的通知</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各县（市、区）公共资源交易管理委员会，市公共资源交易管理委员会成员单位，各招标投标市场主体：</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为切实深化“放管服”改革，进一步规范招标人主体行为，加强招标投标活动事中事后监管，促进我市公共资源交易营商环境不断优化，根据《国家发展改革委等部门关于严格执行招标投标法规制度进一步规范招标投标主体行为的若干意见》（发改法规规〔</w:t>
      </w:r>
      <w:r>
        <w:rPr>
          <w:rFonts w:hint="eastAsia" w:ascii="仿宋_GB2312" w:hAnsi="仿宋_GB2312" w:eastAsia="仿宋_GB2312" w:cs="仿宋_GB2312"/>
          <w:color w:val="000000"/>
          <w:w w:val="100"/>
          <w:sz w:val="32"/>
          <w:szCs w:val="32"/>
        </w:rPr>
        <w:t>2022</w:t>
      </w:r>
      <w:r>
        <w:rPr>
          <w:rFonts w:hint="eastAsia" w:ascii="仿宋_GB2312" w:hAnsi="仿宋_GB2312" w:eastAsia="仿宋_GB2312" w:cs="仿宋_GB2312"/>
          <w:color w:val="000000"/>
          <w:w w:val="100"/>
          <w:sz w:val="32"/>
          <w:szCs w:val="32"/>
        </w:rPr>
        <w:t>〕</w:t>
      </w:r>
      <w:r>
        <w:rPr>
          <w:rFonts w:hint="eastAsia" w:ascii="仿宋_GB2312" w:hAnsi="仿宋_GB2312" w:eastAsia="仿宋_GB2312" w:cs="仿宋_GB2312"/>
          <w:color w:val="000000"/>
          <w:w w:val="100"/>
          <w:sz w:val="32"/>
          <w:szCs w:val="32"/>
        </w:rPr>
        <w:t>1117</w:t>
      </w:r>
      <w:r>
        <w:rPr>
          <w:rFonts w:hint="eastAsia" w:ascii="仿宋_GB2312" w:hAnsi="仿宋_GB2312" w:eastAsia="仿宋_GB2312" w:cs="仿宋_GB2312"/>
          <w:color w:val="000000"/>
          <w:w w:val="100"/>
          <w:sz w:val="32"/>
          <w:szCs w:val="32"/>
        </w:rPr>
        <w:t>号）等文件要求，现就进一步规范招标人行为加强事中事后监管有关事项通知如下：</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黑体" w:hAnsi="黑体" w:eastAsia="黑体" w:cs="黑体"/>
          <w:w w:val="100"/>
          <w:sz w:val="32"/>
          <w:szCs w:val="32"/>
        </w:rPr>
      </w:pPr>
      <w:r>
        <w:rPr>
          <w:rFonts w:hint="eastAsia" w:ascii="黑体" w:hAnsi="黑体" w:eastAsia="黑体" w:cs="黑体"/>
          <w:color w:val="000000"/>
          <w:w w:val="100"/>
          <w:sz w:val="32"/>
          <w:szCs w:val="32"/>
        </w:rPr>
        <w:t>一、进一步强化招标人主体责任</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招标人在选择招标代理机构、编制招标文件、在统一的公共资源交易平台体系内选择电子交易系统和交易场所、组建评标委员会、委派代表参加评标、确定中标人、签订合同等方面依法享有的自主权。任何单位和个人不得以任何方式为招标人指定招标代理机构，不得违法限定招标人选择招标代理机构的方式，不得强制具有自行招标能力的招标人委托招标代理机构办理招标事宜。招标人要履行招标计划提前发布制度的主体责任，未按要求</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发布招标计划的，招标人不得发布招标公告。</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招标人对依法经项目审批、核准部门确定的招标范围、招标方式、招标组织形式，未经批准不得随意变更。不得以支解发包、化整为零、招小送大、积小成大、设定不合理的暂估价或者通过虚构涉密项目、应急项目等形式规避招标；不得以战略合作、招商引资等理由搞“明招暗定”、“先建后招”的虚假招标；不得通过集体决策、会议纪要、函复意见、备忘录等方式将依法必须招标项目转为采用谈判、询比、竞价或者直接采购等非招标方式。不得随意改变法定招标程序；不得采用抽签、摇号、抓阄等违规方式直接选择投标人、中标候选人或中标人。</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黑体" w:hAnsi="黑体" w:eastAsia="黑体" w:cs="黑体"/>
          <w:w w:val="100"/>
          <w:sz w:val="32"/>
          <w:szCs w:val="32"/>
        </w:rPr>
      </w:pPr>
      <w:r>
        <w:rPr>
          <w:rFonts w:hint="eastAsia" w:ascii="黑体" w:hAnsi="黑体" w:eastAsia="黑体" w:cs="黑体"/>
          <w:color w:val="000000"/>
          <w:w w:val="100"/>
          <w:sz w:val="32"/>
          <w:szCs w:val="32"/>
        </w:rPr>
        <w:t>二、进一步规范招标文件编制</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招标人应当高质量编制招标文件，依法必须招标项目的招标文件应当使用规定的标准示范文本，并根据项目的具体特点与实际需要编制。招标人对本单位政府采购促进中小企业发展政策落实负有主体责任，要认真落实《湖北省财政厅湖北省公共资源交易监督管理局关于落实稳住经济一揽子政策进一步加大政府采购支持中小企业力度的通知》（鄂财采发〔</w:t>
      </w:r>
      <w:r>
        <w:rPr>
          <w:rFonts w:hint="eastAsia" w:ascii="仿宋_GB2312" w:hAnsi="仿宋_GB2312" w:eastAsia="仿宋_GB2312" w:cs="仿宋_GB2312"/>
          <w:color w:val="000000"/>
          <w:w w:val="100"/>
          <w:sz w:val="32"/>
          <w:szCs w:val="32"/>
        </w:rPr>
        <w:t>2022</w:t>
      </w:r>
      <w:r>
        <w:rPr>
          <w:rFonts w:hint="eastAsia" w:ascii="仿宋_GB2312" w:hAnsi="仿宋_GB2312" w:eastAsia="仿宋_GB2312" w:cs="仿宋_GB2312"/>
          <w:color w:val="000000"/>
          <w:w w:val="100"/>
          <w:sz w:val="32"/>
          <w:szCs w:val="32"/>
        </w:rPr>
        <w:t>〕</w:t>
      </w:r>
      <w:r>
        <w:rPr>
          <w:rFonts w:hint="eastAsia" w:ascii="仿宋_GB2312" w:hAnsi="仿宋_GB2312" w:eastAsia="仿宋_GB2312" w:cs="仿宋_GB2312"/>
          <w:color w:val="000000"/>
          <w:w w:val="100"/>
          <w:sz w:val="32"/>
          <w:szCs w:val="32"/>
        </w:rPr>
        <w:t>5</w:t>
      </w:r>
      <w:r>
        <w:rPr>
          <w:rFonts w:hint="eastAsia" w:ascii="仿宋_GB2312" w:hAnsi="仿宋_GB2312" w:eastAsia="仿宋_GB2312" w:cs="仿宋_GB2312"/>
          <w:color w:val="000000"/>
          <w:w w:val="100"/>
          <w:sz w:val="32"/>
          <w:szCs w:val="32"/>
        </w:rPr>
        <w:t>号）等文件规定。依据《招标投标法》必须进行招标的政府采购工程项目，招标人应当按照项目类型选用相应招标文件示范文本，并落实政府采购支持中小企业发展的相关政策要求。</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招标人要简化投标文件形式要求，不得将装订、纸张、明显的文字错误等列为否决投标情形。招标文件中资质、业绩等投标</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kern w:val="0"/>
          <w:sz w:val="32"/>
          <w:szCs w:val="32"/>
          <w:lang w:val="en-US" w:eastAsia="zh-CN" w:bidi="ar"/>
        </w:rPr>
        <w:t>人资格条件要求和评标标准应当以符合项目具体特点和满足实</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际需要为限度审慎设置，不得通过设置不合理条件排斥或者限制</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潜在投标人，不得出现限制、排斥潜在投标人或者投标人的典型</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情形（详见附件</w:t>
      </w:r>
      <w:r>
        <w:rPr>
          <w:rFonts w:hint="eastAsia" w:ascii="仿宋_GB2312" w:hAnsi="仿宋_GB2312" w:eastAsia="仿宋_GB2312" w:cs="仿宋_GB2312"/>
          <w:color w:val="000000"/>
          <w:w w:val="100"/>
          <w:sz w:val="32"/>
          <w:szCs w:val="32"/>
        </w:rPr>
        <w:t>2</w:t>
      </w:r>
      <w:r>
        <w:rPr>
          <w:rFonts w:hint="eastAsia" w:ascii="仿宋_GB2312" w:hAnsi="仿宋_GB2312" w:eastAsia="仿宋_GB2312" w:cs="仿宋_GB2312"/>
          <w:color w:val="000000"/>
          <w:w w:val="100"/>
          <w:sz w:val="32"/>
          <w:szCs w:val="32"/>
        </w:rPr>
        <w:t>）。对于委托招标代理机构编制的招标文件，</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应当认真组织审查，确保合法合规、科学合理、符合项目需求。</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黑体" w:hAnsi="黑体" w:eastAsia="黑体" w:cs="黑体"/>
          <w:w w:val="100"/>
          <w:sz w:val="32"/>
          <w:szCs w:val="32"/>
        </w:rPr>
      </w:pPr>
      <w:r>
        <w:rPr>
          <w:rFonts w:hint="eastAsia" w:ascii="黑体" w:hAnsi="黑体" w:eastAsia="黑体" w:cs="黑体"/>
          <w:color w:val="000000"/>
          <w:w w:val="100"/>
          <w:sz w:val="32"/>
          <w:szCs w:val="32"/>
        </w:rPr>
        <w:t>三、严格规范异议答复</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招标人是异议处理的责任主体，招标人及其委托的招标代理机构在异议事项核实过程中，要注重与异议提出人进行沟通，及早解决争议，避免矛盾激化，减少行政成本。招标人应当在法定时限内完成异议答复。异议答复前，招标代理机构应充分的研判并积极报告招标人。异议答复应当加盖招标人公章。招标人不得故意拖延、敷衍，无故回避实质性答复，或者在做出答复前继续进行招标投标活动。因需要调查、检查、鉴定、专家评审等原因，无法在法定时限内做出实质性答复的，应在形式答复时予以说明，并要明确告知实质性答复的时间，在做出实质性答复前不得继续进行招投标活动。</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招标人及其委托的招标代理机构拒收异议书、未在规定的期限内作出异议答复且未书面告知异议提出人或者在异议答复期内继续进行招标投标活动的，异议提出人可以将有关情况书面报告行政监督部门或者综合监管机构，并由相关部门责令改正。拒不改正或者不能改正并影响中标结果的，对招标人及其委托的招标代理机构依法依规进行处理，并按照规定纳入信用管理。</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黑体" w:hAnsi="黑体" w:eastAsia="黑体" w:cs="黑体"/>
          <w:w w:val="100"/>
          <w:sz w:val="32"/>
          <w:szCs w:val="32"/>
        </w:rPr>
      </w:pPr>
      <w:r>
        <w:rPr>
          <w:rFonts w:hint="eastAsia" w:ascii="黑体" w:hAnsi="黑体" w:eastAsia="黑体" w:cs="黑体"/>
          <w:color w:val="000000"/>
          <w:w w:val="100"/>
          <w:sz w:val="32"/>
          <w:szCs w:val="32"/>
        </w:rPr>
        <w:t>四、规范工程招标投标“评定分离”定标方式</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采用“评定分离”招标方式的工程建设项目，招标人要切实履行“评定分离”主体责任，建立完善定标机制和内控制度，将资格预审文件、招标文件、评标办法、定标办法、定标委员会的组建等纳入各级党委（党组）领导班子“三重一大”集体决策审议事项和廉洁评估范围。招标人要严格落实《襄阳市区房屋建筑和市政基础设施工程施工招标实施“评定分离”改革暂行规定》（襄公共资源局发〔</w:t>
      </w:r>
      <w:r>
        <w:rPr>
          <w:rFonts w:hint="eastAsia" w:ascii="仿宋_GB2312" w:hAnsi="仿宋_GB2312" w:eastAsia="仿宋_GB2312" w:cs="仿宋_GB2312"/>
          <w:color w:val="000000"/>
          <w:w w:val="100"/>
          <w:sz w:val="32"/>
          <w:szCs w:val="32"/>
        </w:rPr>
        <w:t>2021</w:t>
      </w:r>
      <w:r>
        <w:rPr>
          <w:rFonts w:hint="eastAsia" w:ascii="仿宋_GB2312" w:hAnsi="仿宋_GB2312" w:eastAsia="仿宋_GB2312" w:cs="仿宋_GB2312"/>
          <w:color w:val="000000"/>
          <w:w w:val="100"/>
          <w:sz w:val="32"/>
          <w:szCs w:val="32"/>
        </w:rPr>
        <w:t>〕</w:t>
      </w:r>
      <w:r>
        <w:rPr>
          <w:rFonts w:hint="eastAsia" w:ascii="仿宋_GB2312" w:hAnsi="仿宋_GB2312" w:eastAsia="仿宋_GB2312" w:cs="仿宋_GB2312"/>
          <w:color w:val="000000"/>
          <w:w w:val="100"/>
          <w:sz w:val="32"/>
          <w:szCs w:val="32"/>
        </w:rPr>
        <w:t>7</w:t>
      </w:r>
      <w:r>
        <w:rPr>
          <w:rFonts w:hint="eastAsia" w:ascii="仿宋_GB2312" w:hAnsi="仿宋_GB2312" w:eastAsia="仿宋_GB2312" w:cs="仿宋_GB2312"/>
          <w:color w:val="000000"/>
          <w:w w:val="100"/>
          <w:sz w:val="32"/>
          <w:szCs w:val="32"/>
        </w:rPr>
        <w:t>号）有关规定，坚持“优中选低、</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低中选优”原则，在招标文件中载明定标原则、定标规则与方法。</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定标委员会代表招标人行使定标权。定标委员会成员原则上由招标人的在职人员组成，数量为</w:t>
      </w:r>
      <w:r>
        <w:rPr>
          <w:rFonts w:hint="eastAsia" w:ascii="仿宋_GB2312" w:hAnsi="仿宋_GB2312" w:eastAsia="仿宋_GB2312" w:cs="仿宋_GB2312"/>
          <w:color w:val="000000"/>
          <w:w w:val="100"/>
          <w:sz w:val="32"/>
          <w:szCs w:val="32"/>
        </w:rPr>
        <w:t>5</w:t>
      </w:r>
      <w:r>
        <w:rPr>
          <w:rFonts w:hint="eastAsia" w:ascii="仿宋_GB2312" w:hAnsi="仿宋_GB2312" w:eastAsia="仿宋_GB2312" w:cs="仿宋_GB2312"/>
          <w:color w:val="000000"/>
          <w:w w:val="100"/>
          <w:sz w:val="32"/>
          <w:szCs w:val="32"/>
        </w:rPr>
        <w:t>人以上单数。定标委员会应当推荐定标组长，招标人的法定代表人或者主要负责人参加定标委员会的，应由其直接担任定标委员会组长。定标委员会应当按照招标文件中明确的定标方法，结合项目实际和评标委员会的评审意见，根据投标报价、企业实力、企业信誉、项目机构等要素，采用价格竞争定标法、票决定标法、集体议事法或招标文件规定的其它定标方法择优方式比选定标。</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黑体" w:hAnsi="黑体" w:eastAsia="黑体" w:cs="黑体"/>
          <w:color w:val="000000"/>
          <w:w w:val="100"/>
          <w:sz w:val="32"/>
          <w:szCs w:val="32"/>
        </w:rPr>
        <w:t>五、全面推行“双随机、一公开”监管模式</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全面贯彻落实《湖北省招标投标“双随机、一公开”监管办法》，切实将招标投标监管重心从事前审批核准向事中事后全程监管转移，行政监督部门和综合监管机构既要针对招标投标活动全过程开展，也要针对招标投标活动中特定类型的参与主体、违</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kern w:val="0"/>
          <w:sz w:val="32"/>
          <w:szCs w:val="32"/>
          <w:lang w:val="en-US" w:eastAsia="zh-CN" w:bidi="ar"/>
        </w:rPr>
        <w:t>法行为或者交易环节开展。重点监管招标文件编制、招标（计划）</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公告发布、资格审查、开标评标、定标、异议答复、中标候选人</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公示和中标结果公告、招标投标情况书面报告等关键环节；重点</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关注招标投标各方主体责任落实情况；招标代理机构的代理行为</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是否符合法律、法规和有关管理规定；依法必须招标项目的中标</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人是否按规定签订合同。对“双随机、一公开”监管过程中发现</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的违法违规行为严格依法进行处理，并按照有关规定纳入信用管</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理。</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黑体" w:hAnsi="黑体" w:eastAsia="黑体" w:cs="黑体"/>
          <w:w w:val="100"/>
          <w:sz w:val="32"/>
          <w:szCs w:val="32"/>
        </w:rPr>
      </w:pPr>
      <w:r>
        <w:rPr>
          <w:rFonts w:hint="eastAsia" w:ascii="黑体" w:hAnsi="黑体" w:eastAsia="黑体" w:cs="黑体"/>
          <w:color w:val="000000"/>
          <w:w w:val="100"/>
          <w:sz w:val="32"/>
          <w:szCs w:val="32"/>
        </w:rPr>
        <w:t>六、认真履行监管职责</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行政监督部门或综合监管机构要加强招标计划提前发布制度的监督检查力度，取消各级公共资源交易中心对工程建设项目招标计划发布的审核环节。我市行政区域内依法必须进行公开招标的房建、市政、交通、水利等工程建设项目，除涉及国家安全、国家秘密、抢险救灾或因不可预见等特殊原因，对未按要求发布招标计划的，行政监督部门或综合监管机构要责令招标人及时进行改正。各级综合监管机构要慎用招标计划提前发布的特殊情形，确保招标计划发布制度落地落实。</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行政监督部门和综合监管机构要依法查处招标文件中的违法违规行为，监督过程中不得违规干预依法应由招标人自主确定的事项。全面取消没有法律、行政法规依据的招标文件审查等前置审批或审核环节，行政监督部门和综合监管机构应自招标文件发出后</w:t>
      </w:r>
      <w:r>
        <w:rPr>
          <w:rFonts w:hint="eastAsia" w:ascii="仿宋_GB2312" w:hAnsi="仿宋_GB2312" w:eastAsia="仿宋_GB2312" w:cs="仿宋_GB2312"/>
          <w:color w:val="000000"/>
          <w:w w:val="100"/>
          <w:sz w:val="32"/>
          <w:szCs w:val="32"/>
        </w:rPr>
        <w:t>5</w:t>
      </w:r>
      <w:r>
        <w:rPr>
          <w:rFonts w:hint="eastAsia" w:ascii="仿宋_GB2312" w:hAnsi="仿宋_GB2312" w:eastAsia="仿宋_GB2312" w:cs="仿宋_GB2312"/>
          <w:color w:val="000000"/>
          <w:w w:val="100"/>
          <w:sz w:val="32"/>
          <w:szCs w:val="32"/>
        </w:rPr>
        <w:t>个工作日内，对招标文件的合法性进行监督检查，发现</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kern w:val="0"/>
          <w:sz w:val="32"/>
          <w:szCs w:val="32"/>
          <w:lang w:val="en-US" w:eastAsia="zh-CN" w:bidi="ar"/>
        </w:rPr>
        <w:t>招标文件有违反法律、法规、规章或者显失公平的，依法向招标</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人发出《招标监督意见书》（见附件</w:t>
      </w:r>
      <w:r>
        <w:rPr>
          <w:rFonts w:hint="eastAsia" w:ascii="仿宋_GB2312" w:hAnsi="仿宋_GB2312" w:eastAsia="仿宋_GB2312" w:cs="仿宋_GB2312"/>
          <w:color w:val="000000"/>
          <w:w w:val="100"/>
          <w:sz w:val="32"/>
          <w:szCs w:val="32"/>
        </w:rPr>
        <w:t>1</w:t>
      </w:r>
      <w:r>
        <w:rPr>
          <w:rFonts w:hint="eastAsia" w:ascii="仿宋_GB2312" w:hAnsi="仿宋_GB2312" w:eastAsia="仿宋_GB2312" w:cs="仿宋_GB2312"/>
          <w:color w:val="000000"/>
          <w:w w:val="100"/>
          <w:sz w:val="32"/>
          <w:szCs w:val="32"/>
        </w:rPr>
        <w:t>），并及时责令招标人改正并书面说明理由；涉嫌违法的及时处理或者移交相关部门处理。</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对招标文件存在不科学合理，可能造成投标竞争不足的内容，可</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以向招标人提出监督建议；发现招标人（招标代理机构）存在不</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良行为的，应按照有关规定对其不良行为进行记录。</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重点监督以下内容：</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（一）招标人是否存在不具备招标条件而进行招标的情形。</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（二）招标文件要求提交的投标保证金、履约保证金、质量保证金、农民工工资保证金等是否存在超过法规规章规定的情形，是否限定了提交形式。</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（三）招标文件、资格预审文件的发出、澄清、修改的时限，或者确定的提交资格预审申请文件、投标文件的时限，是否存在不符合规定的情形。</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（四）招标文件是否违背“竞争中性原则”，是否存在以不合理的条件限制、排斥潜在投标人或者投标人的情形。</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（五）依据法律、法规、规章和规范性文件需要监督的其他内容。</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本通知自印发之日起施行，执行过程中根据招标投标实际情况作出修订。</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left="0" w:firstLine="64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附件：</w:t>
      </w:r>
      <w:r>
        <w:rPr>
          <w:rFonts w:hint="eastAsia" w:ascii="仿宋_GB2312" w:hAnsi="仿宋_GB2312" w:eastAsia="仿宋_GB2312" w:cs="仿宋_GB2312"/>
          <w:color w:val="000000"/>
          <w:w w:val="100"/>
          <w:sz w:val="32"/>
          <w:szCs w:val="32"/>
        </w:rPr>
        <w:t>1.</w:t>
      </w:r>
      <w:r>
        <w:rPr>
          <w:rFonts w:hint="eastAsia" w:ascii="仿宋_GB2312" w:hAnsi="仿宋_GB2312" w:eastAsia="仿宋_GB2312" w:cs="仿宋_GB2312"/>
          <w:color w:val="000000"/>
          <w:w w:val="100"/>
          <w:sz w:val="32"/>
          <w:szCs w:val="32"/>
        </w:rPr>
        <w:t>招标监督意见书（参考格式）</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kern w:val="0"/>
          <w:sz w:val="32"/>
          <w:szCs w:val="32"/>
          <w:lang w:val="en-US" w:eastAsia="zh-CN" w:bidi="ar"/>
        </w:rPr>
        <w:t>2.</w:t>
      </w:r>
      <w:r>
        <w:rPr>
          <w:rFonts w:hint="eastAsia" w:ascii="仿宋_GB2312" w:hAnsi="仿宋_GB2312" w:eastAsia="仿宋_GB2312" w:cs="仿宋_GB2312"/>
          <w:color w:val="000000"/>
          <w:w w:val="100"/>
          <w:kern w:val="0"/>
          <w:sz w:val="32"/>
          <w:szCs w:val="32"/>
          <w:lang w:val="en-US" w:eastAsia="zh-CN" w:bidi="ar"/>
        </w:rPr>
        <w:t>限制、排斥潜在投标人或者投标人典型情形列举表</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firstLine="3200" w:firstLineChars="100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襄阳市公共资源交易管理委员会</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ind w:firstLine="4480" w:firstLineChars="140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color w:val="000000"/>
          <w:w w:val="100"/>
          <w:sz w:val="32"/>
          <w:szCs w:val="32"/>
        </w:rPr>
        <w:t>2022</w:t>
      </w:r>
      <w:r>
        <w:rPr>
          <w:rFonts w:hint="eastAsia" w:ascii="仿宋_GB2312" w:hAnsi="仿宋_GB2312" w:eastAsia="仿宋_GB2312" w:cs="仿宋_GB2312"/>
          <w:color w:val="000000"/>
          <w:w w:val="100"/>
          <w:sz w:val="32"/>
          <w:szCs w:val="32"/>
        </w:rPr>
        <w:t>年</w:t>
      </w:r>
      <w:r>
        <w:rPr>
          <w:rFonts w:hint="eastAsia" w:ascii="仿宋_GB2312" w:hAnsi="仿宋_GB2312" w:eastAsia="仿宋_GB2312" w:cs="仿宋_GB2312"/>
          <w:color w:val="000000"/>
          <w:w w:val="100"/>
          <w:sz w:val="32"/>
          <w:szCs w:val="32"/>
        </w:rPr>
        <w:t>10</w:t>
      </w:r>
      <w:r>
        <w:rPr>
          <w:rFonts w:hint="eastAsia" w:ascii="仿宋_GB2312" w:hAnsi="仿宋_GB2312" w:eastAsia="仿宋_GB2312" w:cs="仿宋_GB2312"/>
          <w:color w:val="000000"/>
          <w:w w:val="100"/>
          <w:sz w:val="32"/>
          <w:szCs w:val="32"/>
        </w:rPr>
        <w:t>月</w:t>
      </w:r>
      <w:r>
        <w:rPr>
          <w:rFonts w:hint="eastAsia" w:ascii="仿宋_GB2312" w:hAnsi="仿宋_GB2312" w:eastAsia="仿宋_GB2312" w:cs="仿宋_GB2312"/>
          <w:color w:val="000000"/>
          <w:w w:val="100"/>
          <w:sz w:val="32"/>
          <w:szCs w:val="32"/>
        </w:rPr>
        <w:t>21</w:t>
      </w:r>
      <w:r>
        <w:rPr>
          <w:rFonts w:hint="eastAsia" w:ascii="仿宋_GB2312" w:hAnsi="仿宋_GB2312" w:eastAsia="仿宋_GB2312" w:cs="仿宋_GB2312"/>
          <w:color w:val="000000"/>
          <w:w w:val="100"/>
          <w:sz w:val="32"/>
          <w:szCs w:val="32"/>
        </w:rPr>
        <w:t>日</w:t>
      </w: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pStyle w:val="3"/>
        <w:keepNext w:val="0"/>
        <w:keepLines w:val="0"/>
        <w:pageBreakBefore w:val="0"/>
        <w:widowControl/>
        <w:suppressLineNumbers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w w:val="100"/>
          <w:sz w:val="32"/>
          <w:szCs w:val="32"/>
        </w:rPr>
      </w:pPr>
    </w:p>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黑体" w:cs="Times New Roman"/>
          <w:b w:val="0"/>
          <w:bCs w:val="0"/>
          <w:w w:val="100"/>
          <w:sz w:val="32"/>
          <w:szCs w:val="32"/>
        </w:rPr>
      </w:pPr>
      <w:r>
        <w:rPr>
          <w:rFonts w:hint="default" w:ascii="Times New Roman" w:hAnsi="Times New Roman" w:eastAsia="黑体" w:cs="Times New Roman"/>
          <w:b w:val="0"/>
          <w:bCs w:val="0"/>
          <w:w w:val="100"/>
          <w:sz w:val="32"/>
          <w:szCs w:val="32"/>
        </w:rPr>
        <w:t>附件1</w:t>
      </w:r>
    </w:p>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黑体" w:cs="Times New Roman"/>
          <w:b w:val="0"/>
          <w:bCs w:val="0"/>
          <w:w w:val="100"/>
          <w:sz w:val="32"/>
          <w:szCs w:val="32"/>
        </w:rPr>
      </w:pP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w w:val="100"/>
          <w:sz w:val="44"/>
          <w:szCs w:val="44"/>
        </w:rPr>
      </w:pPr>
      <w:r>
        <w:rPr>
          <w:rFonts w:hint="eastAsia" w:ascii="方正小标宋简体" w:hAnsi="方正小标宋简体" w:eastAsia="方正小标宋简体" w:cs="方正小标宋简体"/>
          <w:bCs/>
          <w:w w:val="100"/>
          <w:sz w:val="44"/>
          <w:szCs w:val="44"/>
        </w:rPr>
        <w:t>招标监督意见书（参考格式）</w:t>
      </w: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w w:val="100"/>
          <w:sz w:val="32"/>
          <w:szCs w:val="32"/>
        </w:rPr>
      </w:pPr>
    </w:p>
    <w:p>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（招标人）：</w:t>
      </w:r>
    </w:p>
    <w:p>
      <w:pPr>
        <w:keepNext w:val="0"/>
        <w:keepLines w:val="0"/>
        <w:pageBreakBefore w:val="0"/>
        <w:widowControl w:val="0"/>
        <w:kinsoku/>
        <w:overflowPunct/>
        <w:topLinePunct w:val="0"/>
        <w:autoSpaceDE/>
        <w:autoSpaceDN/>
        <w:bidi w:val="0"/>
        <w:adjustRightInd/>
        <w:snapToGrid/>
        <w:spacing w:line="560" w:lineRule="exact"/>
        <w:ind w:firstLine="645"/>
        <w:textAlignment w:val="auto"/>
        <w:rPr>
          <w:rFonts w:hint="eastAsia" w:ascii="黑体" w:hAnsi="黑体" w:eastAsia="黑体" w:cs="黑体"/>
          <w:w w:val="100"/>
          <w:sz w:val="32"/>
          <w:szCs w:val="32"/>
        </w:rPr>
      </w:pPr>
      <w:r>
        <w:rPr>
          <w:rFonts w:hint="eastAsia" w:ascii="仿宋_GB2312" w:hAnsi="仿宋_GB2312" w:eastAsia="仿宋_GB2312" w:cs="仿宋_GB2312"/>
          <w:w w:val="100"/>
          <w:sz w:val="32"/>
          <w:szCs w:val="32"/>
        </w:rPr>
        <w:t>你单位于  年  月  日在</w:t>
      </w:r>
      <w:r>
        <w:rPr>
          <w:rFonts w:hint="eastAsia" w:ascii="仿宋_GB2312" w:hAnsi="仿宋_GB2312" w:eastAsia="仿宋_GB2312" w:cs="仿宋_GB2312"/>
          <w:w w:val="100"/>
          <w:sz w:val="32"/>
          <w:szCs w:val="32"/>
          <w:lang w:val="en-US" w:eastAsia="zh-CN"/>
        </w:rPr>
        <w:t>襄阳市公共资源电子交易服务网</w:t>
      </w:r>
      <w:r>
        <w:rPr>
          <w:rFonts w:hint="eastAsia" w:ascii="仿宋_GB2312" w:hAnsi="仿宋_GB2312" w:eastAsia="仿宋_GB2312" w:cs="仿宋_GB2312"/>
          <w:w w:val="100"/>
          <w:sz w:val="32"/>
          <w:szCs w:val="32"/>
        </w:rPr>
        <w:t>发布的（</w:t>
      </w:r>
      <w:r>
        <w:rPr>
          <w:rFonts w:hint="eastAsia" w:ascii="仿宋_GB2312" w:hAnsi="仿宋_GB2312" w:eastAsia="仿宋_GB2312" w:cs="仿宋_GB2312"/>
          <w:w w:val="100"/>
          <w:sz w:val="32"/>
          <w:szCs w:val="32"/>
          <w:lang w:val="en-US" w:eastAsia="zh-CN"/>
        </w:rPr>
        <w:t>项目</w:t>
      </w:r>
      <w:r>
        <w:rPr>
          <w:rFonts w:hint="eastAsia" w:ascii="仿宋_GB2312" w:hAnsi="仿宋_GB2312" w:eastAsia="仿宋_GB2312" w:cs="仿宋_GB2312"/>
          <w:w w:val="100"/>
          <w:sz w:val="32"/>
          <w:szCs w:val="32"/>
        </w:rPr>
        <w:t>名称）招标文件（资格预审文件），经核验，存在以下违法违规行为：</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95"/>
        <w:gridCol w:w="4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5" w:type="dxa"/>
            <w:shd w:val="clear" w:color="auto" w:fill="auto"/>
            <w:noWrap w:val="0"/>
            <w:vAlign w:val="top"/>
          </w:tcPr>
          <w:p>
            <w:pPr>
              <w:keepNext w:val="0"/>
              <w:keepLines w:val="0"/>
              <w:pageBreakBefore w:val="0"/>
              <w:widowControl w:val="0"/>
              <w:tabs>
                <w:tab w:val="left" w:pos="426"/>
              </w:tabs>
              <w:kinsoku/>
              <w:overflowPunct/>
              <w:topLinePunct w:val="0"/>
              <w:autoSpaceDE/>
              <w:autoSpaceDN/>
              <w:bidi w:val="0"/>
              <w:adjustRightInd/>
              <w:snapToGrid/>
              <w:spacing w:line="560" w:lineRule="exact"/>
              <w:jc w:val="center"/>
              <w:textAlignment w:val="auto"/>
              <w:rPr>
                <w:rFonts w:hint="eastAsia" w:ascii="黑体" w:hAnsi="黑体" w:eastAsia="黑体" w:cs="黑体"/>
                <w:w w:val="100"/>
                <w:sz w:val="32"/>
                <w:szCs w:val="32"/>
              </w:rPr>
            </w:pPr>
            <w:r>
              <w:rPr>
                <w:rFonts w:hint="eastAsia" w:ascii="黑体" w:hAnsi="黑体" w:eastAsia="黑体" w:cs="黑体"/>
                <w:w w:val="100"/>
                <w:sz w:val="32"/>
                <w:szCs w:val="32"/>
              </w:rPr>
              <w:t>招标文件原文内容</w:t>
            </w:r>
          </w:p>
        </w:tc>
        <w:tc>
          <w:tcPr>
            <w:tcW w:w="4680" w:type="dxa"/>
            <w:shd w:val="clear" w:color="auto" w:fill="auto"/>
            <w:noWrap w:val="0"/>
            <w:vAlign w:val="top"/>
          </w:tcPr>
          <w:p>
            <w:pPr>
              <w:keepNext w:val="0"/>
              <w:keepLines w:val="0"/>
              <w:pageBreakBefore w:val="0"/>
              <w:widowControl w:val="0"/>
              <w:tabs>
                <w:tab w:val="left" w:pos="426"/>
              </w:tabs>
              <w:kinsoku/>
              <w:overflowPunct/>
              <w:topLinePunct w:val="0"/>
              <w:autoSpaceDE/>
              <w:autoSpaceDN/>
              <w:bidi w:val="0"/>
              <w:adjustRightInd/>
              <w:snapToGrid/>
              <w:spacing w:line="560" w:lineRule="exact"/>
              <w:jc w:val="center"/>
              <w:textAlignment w:val="auto"/>
              <w:rPr>
                <w:rFonts w:hint="eastAsia" w:ascii="黑体" w:hAnsi="黑体" w:eastAsia="黑体" w:cs="黑体"/>
                <w:w w:val="100"/>
                <w:sz w:val="32"/>
                <w:szCs w:val="32"/>
              </w:rPr>
            </w:pPr>
            <w:r>
              <w:rPr>
                <w:rFonts w:hint="eastAsia" w:ascii="黑体" w:hAnsi="黑体" w:eastAsia="黑体" w:cs="黑体"/>
                <w:w w:val="100"/>
                <w:sz w:val="32"/>
                <w:szCs w:val="32"/>
              </w:rPr>
              <w:t>违法违规情况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5" w:type="dxa"/>
            <w:shd w:val="clear" w:color="auto" w:fill="auto"/>
            <w:noWrap w:val="0"/>
            <w:vAlign w:val="top"/>
          </w:tcPr>
          <w:p>
            <w:pPr>
              <w:keepNext w:val="0"/>
              <w:keepLines w:val="0"/>
              <w:pageBreakBefore w:val="0"/>
              <w:widowControl w:val="0"/>
              <w:tabs>
                <w:tab w:val="left" w:pos="426"/>
              </w:tabs>
              <w:kinsoku/>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p>
        </w:tc>
        <w:tc>
          <w:tcPr>
            <w:tcW w:w="4680" w:type="dxa"/>
            <w:shd w:val="clear" w:color="auto" w:fill="auto"/>
            <w:noWrap w:val="0"/>
            <w:vAlign w:val="top"/>
          </w:tcPr>
          <w:p>
            <w:pPr>
              <w:keepNext w:val="0"/>
              <w:keepLines w:val="0"/>
              <w:pageBreakBefore w:val="0"/>
              <w:widowControl w:val="0"/>
              <w:tabs>
                <w:tab w:val="left" w:pos="426"/>
              </w:tabs>
              <w:kinsoku/>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5" w:type="dxa"/>
            <w:shd w:val="clear" w:color="auto" w:fill="auto"/>
            <w:noWrap w:val="0"/>
            <w:vAlign w:val="top"/>
          </w:tcPr>
          <w:p>
            <w:pPr>
              <w:keepNext w:val="0"/>
              <w:keepLines w:val="0"/>
              <w:pageBreakBefore w:val="0"/>
              <w:widowControl w:val="0"/>
              <w:tabs>
                <w:tab w:val="left" w:pos="426"/>
              </w:tabs>
              <w:kinsoku/>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p>
        </w:tc>
        <w:tc>
          <w:tcPr>
            <w:tcW w:w="4680" w:type="dxa"/>
            <w:shd w:val="clear" w:color="auto" w:fill="auto"/>
            <w:noWrap w:val="0"/>
            <w:vAlign w:val="top"/>
          </w:tcPr>
          <w:p>
            <w:pPr>
              <w:keepNext w:val="0"/>
              <w:keepLines w:val="0"/>
              <w:pageBreakBefore w:val="0"/>
              <w:widowControl w:val="0"/>
              <w:tabs>
                <w:tab w:val="left" w:pos="426"/>
              </w:tabs>
              <w:kinsoku/>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5" w:type="dxa"/>
            <w:shd w:val="clear" w:color="auto" w:fill="auto"/>
            <w:noWrap w:val="0"/>
            <w:vAlign w:val="top"/>
          </w:tcPr>
          <w:p>
            <w:pPr>
              <w:keepNext w:val="0"/>
              <w:keepLines w:val="0"/>
              <w:pageBreakBefore w:val="0"/>
              <w:widowControl w:val="0"/>
              <w:tabs>
                <w:tab w:val="left" w:pos="426"/>
              </w:tabs>
              <w:kinsoku/>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p>
        </w:tc>
        <w:tc>
          <w:tcPr>
            <w:tcW w:w="4680" w:type="dxa"/>
            <w:shd w:val="clear" w:color="auto" w:fill="auto"/>
            <w:noWrap w:val="0"/>
            <w:vAlign w:val="top"/>
          </w:tcPr>
          <w:p>
            <w:pPr>
              <w:keepNext w:val="0"/>
              <w:keepLines w:val="0"/>
              <w:pageBreakBefore w:val="0"/>
              <w:widowControl w:val="0"/>
              <w:tabs>
                <w:tab w:val="left" w:pos="426"/>
              </w:tabs>
              <w:kinsoku/>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p>
        </w:tc>
      </w:tr>
    </w:tbl>
    <w:p>
      <w:pPr>
        <w:keepNext w:val="0"/>
        <w:keepLines w:val="0"/>
        <w:pageBreakBefore w:val="0"/>
        <w:widowControl w:val="0"/>
        <w:tabs>
          <w:tab w:val="left" w:pos="426"/>
        </w:tabs>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w w:val="100"/>
          <w:sz w:val="32"/>
          <w:szCs w:val="32"/>
        </w:rPr>
      </w:pPr>
      <w:r>
        <w:rPr>
          <w:rFonts w:hint="eastAsia" w:ascii="仿宋_GB2312" w:hAnsi="仿宋_GB2312" w:eastAsia="仿宋_GB2312" w:cs="仿宋_GB2312"/>
          <w:w w:val="100"/>
          <w:sz w:val="32"/>
          <w:szCs w:val="32"/>
        </w:rPr>
        <w:t>按照（法律法规及条款）的规定，责令改正。</w:t>
      </w:r>
    </w:p>
    <w:p>
      <w:pPr>
        <w:keepNext w:val="0"/>
        <w:keepLines w:val="0"/>
        <w:pageBreakBefore w:val="0"/>
        <w:widowControl w:val="0"/>
        <w:tabs>
          <w:tab w:val="left" w:pos="426"/>
        </w:tabs>
        <w:kinsoku/>
        <w:overflowPunct/>
        <w:topLinePunct w:val="0"/>
        <w:autoSpaceDE/>
        <w:autoSpaceDN/>
        <w:bidi w:val="0"/>
        <w:adjustRightInd/>
        <w:snapToGrid/>
        <w:spacing w:line="560" w:lineRule="exact"/>
        <w:ind w:right="480" w:firstLine="640" w:firstLineChars="200"/>
        <w:jc w:val="right"/>
        <w:textAlignment w:val="auto"/>
        <w:rPr>
          <w:rFonts w:hint="eastAsia" w:ascii="仿宋_GB2312" w:hAnsi="仿宋_GB2312" w:eastAsia="仿宋_GB2312" w:cs="仿宋_GB2312"/>
          <w:w w:val="100"/>
          <w:sz w:val="32"/>
          <w:szCs w:val="32"/>
        </w:rPr>
      </w:pPr>
    </w:p>
    <w:p>
      <w:pPr>
        <w:keepNext w:val="0"/>
        <w:keepLines w:val="0"/>
        <w:pageBreakBefore w:val="0"/>
        <w:widowControl w:val="0"/>
        <w:tabs>
          <w:tab w:val="left" w:pos="426"/>
        </w:tabs>
        <w:kinsoku/>
        <w:overflowPunct/>
        <w:topLinePunct w:val="0"/>
        <w:autoSpaceDE/>
        <w:autoSpaceDN/>
        <w:bidi w:val="0"/>
        <w:adjustRightInd/>
        <w:snapToGrid/>
        <w:spacing w:line="560" w:lineRule="exact"/>
        <w:ind w:right="480" w:firstLine="640" w:firstLineChars="200"/>
        <w:jc w:val="right"/>
        <w:textAlignment w:val="auto"/>
        <w:rPr>
          <w:rFonts w:hint="default" w:ascii="仿宋_GB2312" w:hAnsi="仿宋_GB2312" w:eastAsia="仿宋_GB2312" w:cs="仿宋_GB2312"/>
          <w:w w:val="100"/>
          <w:sz w:val="32"/>
          <w:szCs w:val="32"/>
          <w:lang w:val="en-US" w:eastAsia="zh-CN"/>
        </w:rPr>
      </w:pPr>
      <w:r>
        <w:rPr>
          <w:rFonts w:hint="eastAsia" w:ascii="仿宋_GB2312" w:hAnsi="仿宋_GB2312" w:eastAsia="仿宋_GB2312" w:cs="仿宋_GB2312"/>
          <w:w w:val="100"/>
          <w:sz w:val="32"/>
          <w:szCs w:val="32"/>
        </w:rPr>
        <w:t>（行政监督部门</w:t>
      </w:r>
      <w:r>
        <w:rPr>
          <w:rFonts w:hint="eastAsia" w:ascii="仿宋_GB2312" w:hAnsi="仿宋_GB2312" w:eastAsia="仿宋_GB2312" w:cs="仿宋_GB2312"/>
          <w:w w:val="100"/>
          <w:sz w:val="32"/>
          <w:szCs w:val="32"/>
          <w:lang w:val="en-US" w:eastAsia="zh-CN"/>
        </w:rPr>
        <w:t>或综合监管机构</w:t>
      </w:r>
      <w:r>
        <w:rPr>
          <w:rFonts w:hint="eastAsia" w:ascii="仿宋_GB2312" w:hAnsi="仿宋_GB2312" w:eastAsia="仿宋_GB2312" w:cs="仿宋_GB2312"/>
          <w:w w:val="100"/>
          <w:sz w:val="32"/>
          <w:szCs w:val="32"/>
        </w:rPr>
        <w:t>名称）</w:t>
      </w:r>
    </w:p>
    <w:p>
      <w:pPr>
        <w:keepNext w:val="0"/>
        <w:keepLines w:val="0"/>
        <w:pageBreakBefore w:val="0"/>
        <w:widowControl w:val="0"/>
        <w:tabs>
          <w:tab w:val="left" w:pos="426"/>
        </w:tabs>
        <w:kinsoku/>
        <w:wordWrap w:val="0"/>
        <w:overflowPunct/>
        <w:topLinePunct w:val="0"/>
        <w:autoSpaceDE/>
        <w:autoSpaceDN/>
        <w:bidi w:val="0"/>
        <w:adjustRightInd/>
        <w:snapToGrid/>
        <w:spacing w:line="560" w:lineRule="exact"/>
        <w:ind w:right="480" w:firstLine="640" w:firstLineChars="200"/>
        <w:jc w:val="right"/>
        <w:textAlignment w:val="auto"/>
        <w:rPr>
          <w:rFonts w:hint="default" w:ascii="仿宋_GB2312" w:hAnsi="仿宋_GB2312" w:eastAsia="仿宋_GB2312" w:cs="仿宋_GB2312"/>
          <w:w w:val="100"/>
          <w:sz w:val="32"/>
          <w:szCs w:val="32"/>
          <w:lang w:val="en-US" w:eastAsia="zh-CN"/>
        </w:rPr>
      </w:pPr>
      <w:r>
        <w:rPr>
          <w:rFonts w:hint="eastAsia" w:ascii="仿宋_GB2312" w:hAnsi="仿宋_GB2312" w:eastAsia="仿宋_GB2312" w:cs="仿宋_GB2312"/>
          <w:w w:val="100"/>
          <w:sz w:val="32"/>
          <w:szCs w:val="32"/>
        </w:rPr>
        <w:t xml:space="preserve">年  月  </w:t>
      </w:r>
      <w:r>
        <w:rPr>
          <w:rFonts w:hint="eastAsia" w:ascii="仿宋_GB2312" w:hAnsi="仿宋_GB2312" w:eastAsia="仿宋_GB2312" w:cs="仿宋_GB2312"/>
          <w:w w:val="100"/>
          <w:sz w:val="32"/>
          <w:szCs w:val="32"/>
          <w:lang w:val="en-US" w:eastAsia="zh-CN"/>
        </w:rPr>
        <w:t xml:space="preserve">日            </w:t>
      </w:r>
    </w:p>
    <w:p>
      <w:pPr>
        <w:keepNext w:val="0"/>
        <w:keepLines w:val="0"/>
        <w:pageBreakBefore w:val="0"/>
        <w:widowControl w:val="0"/>
        <w:kinsoku/>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w w:val="100"/>
          <w:sz w:val="32"/>
          <w:szCs w:val="32"/>
          <w:lang w:val="en-US" w:eastAsia="zh-CN"/>
        </w:rPr>
      </w:pPr>
    </w:p>
    <w:p>
      <w:pPr>
        <w:keepNext w:val="0"/>
        <w:keepLines w:val="0"/>
        <w:pageBreakBefore w:val="0"/>
        <w:widowControl w:val="0"/>
        <w:kinsoku/>
        <w:overflowPunct/>
        <w:topLinePunct w:val="0"/>
        <w:autoSpaceDE/>
        <w:autoSpaceDN/>
        <w:bidi w:val="0"/>
        <w:adjustRightInd/>
        <w:snapToGrid/>
        <w:spacing w:line="560" w:lineRule="exact"/>
        <w:ind w:firstLine="0" w:firstLineChars="0"/>
        <w:textAlignment w:val="auto"/>
        <w:rPr>
          <w:rFonts w:hint="eastAsia" w:ascii="仿宋_GB2312" w:hAnsi="仿宋_GB2312" w:eastAsia="仿宋_GB2312" w:cs="仿宋_GB2312"/>
          <w:w w:val="100"/>
          <w:sz w:val="32"/>
          <w:szCs w:val="32"/>
          <w:lang w:val="en-US" w:eastAsia="zh-CN"/>
        </w:rPr>
        <w:sectPr>
          <w:footerReference r:id="rId3" w:type="default"/>
          <w:pgSz w:w="11906" w:h="16838"/>
          <w:pgMar w:top="2098" w:right="1474" w:bottom="1984" w:left="1587" w:header="851" w:footer="992" w:gutter="0"/>
          <w:pgNumType w:fmt="numberInDash" w:start="1"/>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720" w:lineRule="exact"/>
        <w:textAlignment w:val="auto"/>
        <w:rPr>
          <w:rFonts w:hint="default" w:ascii="Times New Roman" w:hAnsi="Times New Roman" w:eastAsia="黑体" w:cs="Times New Roman"/>
          <w:i w:val="0"/>
          <w:iCs w:val="0"/>
          <w:caps w:val="0"/>
          <w:color w:val="000000"/>
          <w:spacing w:val="0"/>
          <w:w w:val="100"/>
          <w:sz w:val="32"/>
          <w:szCs w:val="32"/>
          <w:shd w:val="clear" w:color="auto" w:fill="FFFFFF"/>
          <w:lang w:val="en-US" w:eastAsia="zh-CN"/>
        </w:rPr>
      </w:pPr>
      <w:r>
        <w:rPr>
          <w:rFonts w:hint="default" w:ascii="Times New Roman" w:hAnsi="Times New Roman" w:eastAsia="黑体" w:cs="Times New Roman"/>
          <w:i w:val="0"/>
          <w:iCs w:val="0"/>
          <w:caps w:val="0"/>
          <w:color w:val="000000"/>
          <w:spacing w:val="0"/>
          <w:w w:val="100"/>
          <w:sz w:val="32"/>
          <w:szCs w:val="32"/>
          <w:shd w:val="clear" w:color="auto" w:fill="FFFFFF"/>
          <w:lang w:val="en-US" w:eastAsia="zh-CN"/>
        </w:rPr>
        <w:t>附件2</w:t>
      </w:r>
    </w:p>
    <w:p>
      <w:pPr>
        <w:keepNext w:val="0"/>
        <w:keepLines w:val="0"/>
        <w:pageBreakBefore w:val="0"/>
        <w:widowControl w:val="0"/>
        <w:kinsoku/>
        <w:wordWrap/>
        <w:overflowPunct/>
        <w:topLinePunct w:val="0"/>
        <w:autoSpaceDE/>
        <w:autoSpaceDN/>
        <w:bidi w:val="0"/>
        <w:adjustRightInd/>
        <w:snapToGrid/>
        <w:spacing w:line="720" w:lineRule="exact"/>
        <w:textAlignment w:val="auto"/>
        <w:rPr>
          <w:rFonts w:hint="default" w:ascii="Times New Roman" w:hAnsi="Times New Roman" w:eastAsia="黑体" w:cs="Times New Roman"/>
          <w:i w:val="0"/>
          <w:iCs w:val="0"/>
          <w:caps w:val="0"/>
          <w:color w:val="000000"/>
          <w:spacing w:val="0"/>
          <w:w w:val="100"/>
          <w:sz w:val="32"/>
          <w:szCs w:val="32"/>
          <w:shd w:val="clear" w:color="auto" w:fill="FFFFFF"/>
          <w:lang w:val="en-US" w:eastAsia="zh-CN"/>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default" w:ascii="Times New Roman" w:hAnsi="Times New Roman" w:eastAsia="方正小标宋简体" w:cs="Times New Roman"/>
          <w:b w:val="0"/>
          <w:bCs w:val="0"/>
          <w:i w:val="0"/>
          <w:iCs w:val="0"/>
          <w:caps w:val="0"/>
          <w:color w:val="000000"/>
          <w:spacing w:val="0"/>
          <w:w w:val="100"/>
          <w:sz w:val="44"/>
          <w:szCs w:val="44"/>
          <w:shd w:val="clear" w:color="auto" w:fill="FFFFFF"/>
        </w:rPr>
      </w:pPr>
      <w:r>
        <w:rPr>
          <w:rFonts w:hint="default" w:ascii="Times New Roman" w:hAnsi="Times New Roman" w:eastAsia="方正小标宋简体" w:cs="Times New Roman"/>
          <w:b w:val="0"/>
          <w:bCs w:val="0"/>
          <w:i w:val="0"/>
          <w:iCs w:val="0"/>
          <w:caps w:val="0"/>
          <w:color w:val="000000"/>
          <w:spacing w:val="0"/>
          <w:w w:val="100"/>
          <w:sz w:val="44"/>
          <w:szCs w:val="44"/>
          <w:shd w:val="clear" w:color="auto" w:fill="FFFFFF"/>
        </w:rPr>
        <w:t>限制、排</w:t>
      </w:r>
      <w:r>
        <w:rPr>
          <w:rFonts w:hint="default" w:ascii="Times New Roman" w:hAnsi="Times New Roman" w:eastAsia="方正小标宋简体" w:cs="Times New Roman"/>
          <w:b w:val="0"/>
          <w:bCs w:val="0"/>
          <w:i w:val="0"/>
          <w:iCs w:val="0"/>
          <w:caps w:val="0"/>
          <w:color w:val="000000"/>
          <w:spacing w:val="0"/>
          <w:w w:val="100"/>
          <w:sz w:val="44"/>
          <w:szCs w:val="44"/>
          <w:shd w:val="clear" w:color="auto" w:fill="FFFFFF"/>
          <w:vertAlign w:val="baseline"/>
        </w:rPr>
        <w:t>斥潜在投标人或者</w:t>
      </w:r>
      <w:r>
        <w:rPr>
          <w:rFonts w:hint="default" w:ascii="Times New Roman" w:hAnsi="Times New Roman" w:eastAsia="方正小标宋简体" w:cs="Times New Roman"/>
          <w:b w:val="0"/>
          <w:bCs w:val="0"/>
          <w:i w:val="0"/>
          <w:iCs w:val="0"/>
          <w:caps w:val="0"/>
          <w:color w:val="000000"/>
          <w:spacing w:val="0"/>
          <w:w w:val="100"/>
          <w:sz w:val="44"/>
          <w:szCs w:val="44"/>
          <w:shd w:val="clear" w:color="auto" w:fill="FFFFFF"/>
        </w:rPr>
        <w:t>投标人的典型情形列举表</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b w:val="0"/>
          <w:bCs w:val="0"/>
          <w:i w:val="0"/>
          <w:iCs w:val="0"/>
          <w:caps w:val="0"/>
          <w:color w:val="000000"/>
          <w:spacing w:val="0"/>
          <w:w w:val="100"/>
          <w:sz w:val="44"/>
          <w:szCs w:val="44"/>
          <w:shd w:val="clear" w:color="auto" w:fill="FFFFFF"/>
        </w:rPr>
      </w:pPr>
    </w:p>
    <w:tbl>
      <w:tblPr>
        <w:tblStyle w:val="4"/>
        <w:tblW w:w="14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5181"/>
        <w:gridCol w:w="8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Times New Roman" w:hAnsi="Times New Roman" w:eastAsia="黑体" w:cs="黑体"/>
                <w:b w:val="0"/>
                <w:bCs w:val="0"/>
                <w:color w:val="000000" w:themeColor="text1"/>
                <w:w w:val="100"/>
                <w:sz w:val="28"/>
                <w:szCs w:val="28"/>
                <w14:textFill>
                  <w14:solidFill>
                    <w14:schemeClr w14:val="tx1"/>
                  </w14:solidFill>
                </w14:textFill>
              </w:rPr>
            </w:pPr>
            <w:r>
              <w:rPr>
                <w:rFonts w:hint="eastAsia" w:ascii="Times New Roman" w:hAnsi="Times New Roman" w:eastAsia="黑体" w:cs="黑体"/>
                <w:b w:val="0"/>
                <w:bCs w:val="0"/>
                <w:color w:val="000000" w:themeColor="text1"/>
                <w:w w:val="100"/>
                <w:sz w:val="28"/>
                <w:szCs w:val="28"/>
                <w14:textFill>
                  <w14:solidFill>
                    <w14:schemeClr w14:val="tx1"/>
                  </w14:solidFill>
                </w14:textFill>
              </w:rPr>
              <w:t>序号</w:t>
            </w:r>
          </w:p>
        </w:tc>
        <w:tc>
          <w:tcPr>
            <w:tcW w:w="5181" w:type="dxa"/>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Times New Roman" w:hAnsi="Times New Roman" w:eastAsia="黑体" w:cs="黑体"/>
                <w:b w:val="0"/>
                <w:bCs w:val="0"/>
                <w:color w:val="000000" w:themeColor="text1"/>
                <w:w w:val="100"/>
                <w:sz w:val="28"/>
                <w:szCs w:val="28"/>
                <w14:textFill>
                  <w14:solidFill>
                    <w14:schemeClr w14:val="tx1"/>
                  </w14:solidFill>
                </w14:textFill>
              </w:rPr>
            </w:pPr>
            <w:r>
              <w:rPr>
                <w:rFonts w:hint="eastAsia" w:ascii="Times New Roman" w:hAnsi="Times New Roman" w:eastAsia="黑体" w:cs="黑体"/>
                <w:b w:val="0"/>
                <w:bCs w:val="0"/>
                <w:color w:val="000000" w:themeColor="text1"/>
                <w:w w:val="100"/>
                <w:sz w:val="28"/>
                <w:szCs w:val="28"/>
                <w14:textFill>
                  <w14:solidFill>
                    <w14:schemeClr w14:val="tx1"/>
                  </w14:solidFill>
                </w14:textFill>
              </w:rPr>
              <w:t>限制排斥行为类型</w:t>
            </w: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Times New Roman" w:hAnsi="Times New Roman" w:eastAsia="黑体" w:cs="黑体"/>
                <w:b w:val="0"/>
                <w:bCs w:val="0"/>
                <w:color w:val="000000" w:themeColor="text1"/>
                <w:w w:val="100"/>
                <w:sz w:val="28"/>
                <w:szCs w:val="28"/>
                <w14:textFill>
                  <w14:solidFill>
                    <w14:schemeClr w14:val="tx1"/>
                  </w14:solidFill>
                </w14:textFill>
              </w:rPr>
            </w:pPr>
            <w:r>
              <w:rPr>
                <w:rFonts w:hint="eastAsia" w:ascii="Times New Roman" w:hAnsi="Times New Roman" w:eastAsia="黑体" w:cs="黑体"/>
                <w:b w:val="0"/>
                <w:bCs w:val="0"/>
                <w:color w:val="000000" w:themeColor="text1"/>
                <w:w w:val="100"/>
                <w:sz w:val="28"/>
                <w:szCs w:val="28"/>
                <w14:textFill>
                  <w14:solidFill>
                    <w14:schemeClr w14:val="tx1"/>
                  </w14:solidFill>
                </w14:textFill>
              </w:rPr>
              <w:t>情形列举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bCs/>
                <w:color w:val="000000" w:themeColor="text1"/>
                <w:sz w:val="28"/>
                <w:szCs w:val="28"/>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1</w:t>
            </w:r>
          </w:p>
        </w:tc>
        <w:tc>
          <w:tcPr>
            <w:tcW w:w="5181"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bCs/>
                <w:color w:val="000000" w:themeColor="text1"/>
                <w:w w:val="100"/>
                <w:sz w:val="24"/>
                <w:szCs w:val="24"/>
                <w14:textFill>
                  <w14:solidFill>
                    <w14:schemeClr w14:val="tx1"/>
                  </w14:solidFill>
                </w14:textFill>
              </w:rPr>
            </w:pPr>
            <w:r>
              <w:rPr>
                <w:rFonts w:hint="default" w:ascii="Times New Roman" w:hAnsi="Times New Roman" w:eastAsia="仿宋" w:cs="Times New Roman"/>
                <w:bCs/>
                <w:color w:val="000000" w:themeColor="text1"/>
                <w:w w:val="100"/>
                <w:sz w:val="24"/>
                <w:szCs w:val="24"/>
                <w14:textFill>
                  <w14:solidFill>
                    <w14:schemeClr w14:val="tx1"/>
                  </w14:solidFill>
                </w14:textFill>
              </w:rPr>
              <w:t>就同一招标项目向潜在投标人或者投标人提供有差别的项目信息。</w:t>
            </w: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在两个以上媒介发布的同一招标项目的招标公告内容不一致。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bCs/>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bCs/>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单独或者分别组织潜在投标人踏勘项目现场和举行投标预备会。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bCs/>
                <w:color w:val="000000" w:themeColor="text1"/>
                <w:sz w:val="28"/>
                <w:szCs w:val="28"/>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2</w:t>
            </w:r>
          </w:p>
        </w:tc>
        <w:tc>
          <w:tcPr>
            <w:tcW w:w="5181"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bCs/>
                <w:color w:val="000000" w:themeColor="text1"/>
                <w:w w:val="100"/>
                <w:sz w:val="24"/>
                <w:szCs w:val="24"/>
                <w14:textFill>
                  <w14:solidFill>
                    <w14:schemeClr w14:val="tx1"/>
                  </w14:solidFill>
                </w14:textFill>
              </w:rPr>
            </w:pPr>
            <w:r>
              <w:rPr>
                <w:rFonts w:hint="default" w:ascii="Times New Roman" w:hAnsi="Times New Roman" w:eastAsia="仿宋" w:cs="Times New Roman"/>
                <w:bCs/>
                <w:color w:val="000000" w:themeColor="text1"/>
                <w:w w:val="100"/>
                <w:sz w:val="24"/>
                <w:szCs w:val="24"/>
                <w14:textFill>
                  <w14:solidFill>
                    <w14:schemeClr w14:val="tx1"/>
                  </w14:solidFill>
                </w14:textFill>
              </w:rPr>
              <w:t>设定的资格、技术、商务条件与招标项目的具体特点和实际需要不相适应或者与合同履行无关。</w:t>
            </w: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脱离招标项目的具体特点和实际需要，随意和盲目地设定投标人要求。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4"/>
                <w:szCs w:val="24"/>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设定与招标项目具体特点和实际需要不相适应的资质资格、技术、商务条件或者业绩、奖项要求。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4"/>
                <w:szCs w:val="24"/>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设定企业股东背景、年平均承接项目数量或者金额、从业人员、纳税额、营业场所面积等规模条件。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4"/>
                <w:szCs w:val="24"/>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设定超过项目实际需要的企业注册资本、资产总额、净资产规模、营业收入、利润、授信额度等财务指标。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4"/>
                <w:szCs w:val="24"/>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设定与招标项目实际需要不相适应或者与合同履行无关的资质、人员资格等。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bCs/>
                <w:color w:val="000000" w:themeColor="text1"/>
                <w:sz w:val="28"/>
                <w:szCs w:val="28"/>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3</w:t>
            </w:r>
          </w:p>
        </w:tc>
        <w:tc>
          <w:tcPr>
            <w:tcW w:w="5181"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bCs/>
                <w:color w:val="000000" w:themeColor="text1"/>
                <w:w w:val="100"/>
                <w:sz w:val="24"/>
                <w:szCs w:val="24"/>
                <w14:textFill>
                  <w14:solidFill>
                    <w14:schemeClr w14:val="tx1"/>
                  </w14:solidFill>
                </w14:textFill>
              </w:rPr>
              <w:t>依法必须进行招标的项目以特定行政区域或者特定行业的业绩、奖项作为加分条件或者中标条件。</w:t>
            </w: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设定投标人获得过</w:t>
            </w:r>
            <w:r>
              <w:rPr>
                <w:rFonts w:hint="default" w:ascii="Times New Roman" w:hAnsi="Times New Roman" w:eastAsia="仿宋" w:cs="Times New Roman"/>
                <w:color w:val="000000" w:themeColor="text1"/>
                <w:w w:val="100"/>
                <w:sz w:val="24"/>
                <w:szCs w:val="24"/>
                <w:lang w:val="en-US" w:eastAsia="zh-CN"/>
                <w14:textFill>
                  <w14:solidFill>
                    <w14:schemeClr w14:val="tx1"/>
                  </w14:solidFill>
                </w14:textFill>
              </w:rPr>
              <w:t>某个</w:t>
            </w:r>
            <w:r>
              <w:rPr>
                <w:rFonts w:hint="default" w:ascii="Times New Roman" w:hAnsi="Times New Roman" w:eastAsia="仿宋" w:cs="Times New Roman"/>
                <w:color w:val="000000" w:themeColor="text1"/>
                <w:w w:val="100"/>
                <w:sz w:val="24"/>
                <w:szCs w:val="24"/>
                <w14:textFill>
                  <w14:solidFill>
                    <w14:schemeClr w14:val="tx1"/>
                  </w14:solidFill>
                </w14:textFill>
              </w:rPr>
              <w:t>特定区域奖项。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设定投标人具有</w:t>
            </w:r>
            <w:r>
              <w:rPr>
                <w:rFonts w:hint="default" w:ascii="Times New Roman" w:hAnsi="Times New Roman" w:eastAsia="仿宋" w:cs="Times New Roman"/>
                <w:color w:val="000000" w:themeColor="text1"/>
                <w:w w:val="100"/>
                <w:sz w:val="24"/>
                <w:szCs w:val="24"/>
                <w:lang w:val="en-US" w:eastAsia="zh-CN"/>
                <w14:textFill>
                  <w14:solidFill>
                    <w14:schemeClr w14:val="tx1"/>
                  </w14:solidFill>
                </w14:textFill>
              </w:rPr>
              <w:t>本地</w:t>
            </w:r>
            <w:r>
              <w:rPr>
                <w:rFonts w:hint="default" w:ascii="Times New Roman" w:hAnsi="Times New Roman" w:eastAsia="仿宋" w:cs="Times New Roman"/>
                <w:color w:val="000000" w:themeColor="text1"/>
                <w:w w:val="100"/>
                <w:sz w:val="24"/>
                <w:szCs w:val="24"/>
                <w14:textFill>
                  <w14:solidFill>
                    <w14:schemeClr w14:val="tx1"/>
                  </w14:solidFill>
                </w14:textFill>
              </w:rPr>
              <w:t>业绩等特定区域业绩。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设定投标人具有教育建筑、医疗建筑等特定行业业绩。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bCs/>
                <w:color w:val="000000" w:themeColor="text1"/>
                <w:sz w:val="28"/>
                <w:szCs w:val="28"/>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4</w:t>
            </w:r>
          </w:p>
        </w:tc>
        <w:tc>
          <w:tcPr>
            <w:tcW w:w="5181"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bCs/>
                <w:color w:val="000000" w:themeColor="text1"/>
                <w:w w:val="100"/>
                <w:sz w:val="24"/>
                <w:szCs w:val="24"/>
                <w14:textFill>
                  <w14:solidFill>
                    <w14:schemeClr w14:val="tx1"/>
                  </w14:solidFill>
                </w14:textFill>
              </w:rPr>
              <w:t>对潜在投标人或者投标人采取不同的资格审查或者评标标准。</w:t>
            </w: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对本地区或本行业之外的潜在投标人或投标人设定不同的资格审查或评标标准。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设定投标人在本地注册设立子公司、分公司、分支机构，在本地拥有一定办公面积，在本地缴纳社会保险等。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bCs/>
                <w:color w:val="000000" w:themeColor="text1"/>
                <w:sz w:val="28"/>
                <w:szCs w:val="28"/>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5</w:t>
            </w:r>
          </w:p>
        </w:tc>
        <w:tc>
          <w:tcPr>
            <w:tcW w:w="5181"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bCs/>
                <w:color w:val="000000" w:themeColor="text1"/>
                <w:w w:val="100"/>
                <w:sz w:val="24"/>
                <w:szCs w:val="24"/>
                <w14:textFill>
                  <w14:solidFill>
                    <w14:schemeClr w14:val="tx1"/>
                  </w14:solidFill>
                </w14:textFill>
              </w:rPr>
            </w:pPr>
            <w:r>
              <w:rPr>
                <w:rFonts w:hint="default" w:ascii="Times New Roman" w:hAnsi="Times New Roman" w:eastAsia="仿宋" w:cs="Times New Roman"/>
                <w:bCs/>
                <w:color w:val="000000" w:themeColor="text1"/>
                <w:w w:val="100"/>
                <w:sz w:val="24"/>
                <w:szCs w:val="24"/>
                <w14:textFill>
                  <w14:solidFill>
                    <w14:schemeClr w14:val="tx1"/>
                  </w14:solidFill>
                </w14:textFill>
              </w:rPr>
              <w:t>限定或者指定特定的专利、商标、品牌、原产地或者供应商。</w:t>
            </w: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限定或者指定特定的专利、商标、品牌、厂家或检验检测认证机构（法律法规有明确要求的除外）。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限定进口产品或对进口产品加分。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限定必须在招标文件列举的品牌、厂家中选择。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设定特定的专利、品牌、厂家加分。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850" w:type="dxa"/>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6</w:t>
            </w:r>
          </w:p>
        </w:tc>
        <w:tc>
          <w:tcPr>
            <w:tcW w:w="5181" w:type="dxa"/>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bCs/>
                <w:color w:val="000000" w:themeColor="text1"/>
                <w:w w:val="100"/>
                <w:sz w:val="24"/>
                <w:szCs w:val="24"/>
                <w14:textFill>
                  <w14:solidFill>
                    <w14:schemeClr w14:val="tx1"/>
                  </w14:solidFill>
                </w14:textFill>
              </w:rPr>
              <w:t>依法必须进行招标的项目非法限定潜在投标人或者投标人所有制形式或者组织形式。</w:t>
            </w:r>
          </w:p>
        </w:tc>
        <w:tc>
          <w:tcPr>
            <w:tcW w:w="8705" w:type="dxa"/>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设定投标人为国有企业，对国有企业加分等。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7</w:t>
            </w: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p>
        </w:tc>
        <w:tc>
          <w:tcPr>
            <w:tcW w:w="5181" w:type="dxa"/>
            <w:vMerge w:val="restart"/>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bCs/>
                <w:color w:val="000000" w:themeColor="text1"/>
                <w:w w:val="100"/>
                <w:sz w:val="24"/>
                <w:szCs w:val="24"/>
                <w14:textFill>
                  <w14:solidFill>
                    <w14:schemeClr w14:val="tx1"/>
                  </w14:solidFill>
                </w14:textFill>
              </w:rPr>
              <w:t>以其他不合理条件限制、排斥潜在投标人或者投标人。</w:t>
            </w: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随意压缩勘察设计周期或施工工期。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将国家已经明令取消的资质资格、非国家法定的资格作为加分条件或者中标条件。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在国家已经明令取消资质资格的领域（例如</w:t>
            </w:r>
            <w:r>
              <w:rPr>
                <w:rFonts w:hint="eastAsia" w:ascii="Times New Roman" w:hAnsi="Times New Roman" w:eastAsia="仿宋" w:cs="Times New Roman"/>
                <w:color w:val="000000" w:themeColor="text1"/>
                <w:w w:val="100"/>
                <w:sz w:val="24"/>
                <w:szCs w:val="24"/>
                <w:lang w:eastAsia="zh-CN"/>
                <w14:textFill>
                  <w14:solidFill>
                    <w14:schemeClr w14:val="tx1"/>
                  </w14:solidFill>
                </w14:textFill>
              </w:rPr>
              <w:t>：</w:t>
            </w:r>
            <w:r>
              <w:rPr>
                <w:rFonts w:hint="default" w:ascii="Times New Roman" w:hAnsi="Times New Roman" w:eastAsia="仿宋" w:cs="Times New Roman"/>
                <w:color w:val="000000" w:themeColor="text1"/>
                <w:w w:val="100"/>
                <w:sz w:val="24"/>
                <w:szCs w:val="24"/>
                <w14:textFill>
                  <w14:solidFill>
                    <w14:schemeClr w14:val="tx1"/>
                  </w14:solidFill>
                </w14:textFill>
              </w:rPr>
              <w:t>园林绿化、土石方、体育场地设施等）将其他资质资格作为加分条件或者中标条件。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将政府部门、行业协会商会或者其他机构对投标人作出的荣誉奖励和慈善公益证明等作为中标条件。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将未列入国家公布的职业资格目录和国家未发布职业标准的人员资格作为加分条件或者中标条件。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施工招标要求投标人提供材料供应商授权书等。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要求投标人的法定代表人必须到开标现场而不接受经授权委托的投标人代表到</w:t>
            </w:r>
            <w:r>
              <w:rPr>
                <w:rFonts w:hint="eastAsia" w:ascii="Times New Roman" w:hAnsi="Times New Roman" w:eastAsia="仿宋" w:cs="Times New Roman"/>
                <w:color w:val="000000" w:themeColor="text1"/>
                <w:w w:val="100"/>
                <w:sz w:val="24"/>
                <w:szCs w:val="24"/>
                <w:lang w:val="en-US" w:eastAsia="zh-CN"/>
                <w14:textFill>
                  <w14:solidFill>
                    <w14:schemeClr w14:val="tx1"/>
                  </w14:solidFill>
                </w14:textFill>
              </w:rPr>
              <w:t>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限定投标保证金、履约保证金、质量保证金、农民工工资保证金的提交形式或超过法定标准等。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设定最低投标限价或者变相设定最低投标限价（例如</w:t>
            </w:r>
            <w:r>
              <w:rPr>
                <w:rFonts w:hint="eastAsia" w:ascii="Times New Roman" w:hAnsi="Times New Roman" w:eastAsia="仿宋" w:cs="Times New Roman"/>
                <w:color w:val="000000" w:themeColor="text1"/>
                <w:w w:val="100"/>
                <w:sz w:val="24"/>
                <w:szCs w:val="24"/>
                <w:lang w:eastAsia="zh-CN"/>
                <w14:textFill>
                  <w14:solidFill>
                    <w14:schemeClr w14:val="tx1"/>
                  </w14:solidFill>
                </w14:textFill>
              </w:rPr>
              <w:t>：</w:t>
            </w:r>
            <w:r>
              <w:rPr>
                <w:rFonts w:hint="default" w:ascii="Times New Roman" w:hAnsi="Times New Roman" w:eastAsia="仿宋" w:cs="Times New Roman"/>
                <w:color w:val="000000" w:themeColor="text1"/>
                <w:w w:val="100"/>
                <w:sz w:val="24"/>
                <w:szCs w:val="24"/>
                <w14:textFill>
                  <w14:solidFill>
                    <w14:schemeClr w14:val="tx1"/>
                  </w14:solidFill>
                </w14:textFill>
              </w:rPr>
              <w:t>低于最高投标限价一定比例的投标直接作否决或零分处理）。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14:textFill>
                  <w14:solidFill>
                    <w14:schemeClr w14:val="tx1"/>
                  </w14:solidFill>
                </w14:textFill>
              </w:rPr>
              <w:t>拟签订合同主要条款约定不公平公正（例如</w:t>
            </w:r>
            <w:r>
              <w:rPr>
                <w:rFonts w:hint="eastAsia" w:ascii="Times New Roman" w:hAnsi="Times New Roman" w:eastAsia="仿宋" w:cs="Times New Roman"/>
                <w:color w:val="000000" w:themeColor="text1"/>
                <w:w w:val="100"/>
                <w:sz w:val="24"/>
                <w:szCs w:val="24"/>
                <w:lang w:eastAsia="zh-CN"/>
                <w14:textFill>
                  <w14:solidFill>
                    <w14:schemeClr w14:val="tx1"/>
                  </w14:solidFill>
                </w14:textFill>
              </w:rPr>
              <w:t>：</w:t>
            </w:r>
            <w:r>
              <w:rPr>
                <w:rFonts w:hint="default" w:ascii="Times New Roman" w:hAnsi="Times New Roman" w:eastAsia="仿宋" w:cs="Times New Roman"/>
                <w:color w:val="000000" w:themeColor="text1"/>
                <w:w w:val="100"/>
                <w:sz w:val="24"/>
                <w:szCs w:val="24"/>
                <w14:textFill>
                  <w14:solidFill>
                    <w14:schemeClr w14:val="tx1"/>
                  </w14:solidFill>
                </w14:textFill>
              </w:rPr>
              <w:t>工程款支付不符合国家规定、风险分担采用无限风险、质量保证金比例超过规定等）。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kern w:val="2"/>
                <w:sz w:val="24"/>
                <w:szCs w:val="24"/>
                <w:lang w:val="en-US" w:eastAsia="zh-CN" w:bidi="ar-SA"/>
                <w14:textFill>
                  <w14:solidFill>
                    <w14:schemeClr w14:val="tx1"/>
                  </w14:solidFill>
                </w14:textFill>
              </w:rPr>
            </w:pPr>
            <w:r>
              <w:rPr>
                <w:rFonts w:hint="default" w:ascii="Times New Roman" w:hAnsi="Times New Roman" w:eastAsia="仿宋" w:cs="Times New Roman"/>
                <w:color w:val="000000" w:themeColor="text1"/>
                <w:w w:val="100"/>
                <w:kern w:val="2"/>
                <w:sz w:val="24"/>
                <w:szCs w:val="24"/>
                <w:lang w:val="en-US" w:eastAsia="zh-CN" w:bidi="ar-SA"/>
                <w14:textFill>
                  <w14:solidFill>
                    <w14:schemeClr w14:val="tx1"/>
                  </w14:solidFill>
                </w14:textFill>
              </w:rPr>
              <w:t>对仅需提供有关资质证明文件、证照，证件复印件的，要求必须提供原件。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default" w:ascii="Times New Roman" w:hAnsi="Times New Roman" w:eastAsia="仿宋" w:cs="Times New Roman"/>
                <w:color w:val="000000" w:themeColor="text1"/>
                <w:w w:val="100"/>
                <w:sz w:val="24"/>
                <w:szCs w:val="24"/>
                <w:lang w:val="en-US" w:eastAsia="zh-CN"/>
                <w14:textFill>
                  <w14:solidFill>
                    <w14:schemeClr w14:val="tx1"/>
                  </w14:solidFill>
                </w14:textFill>
              </w:rPr>
              <w:t>对按规定可以采用</w:t>
            </w:r>
            <w:r>
              <w:rPr>
                <w:rFonts w:hint="eastAsia" w:ascii="Times New Roman" w:hAnsi="Times New Roman" w:eastAsia="仿宋" w:cs="Times New Roman"/>
                <w:color w:val="000000" w:themeColor="text1"/>
                <w:w w:val="100"/>
                <w:sz w:val="24"/>
                <w:szCs w:val="24"/>
                <w:lang w:val="en-US" w:eastAsia="zh-CN"/>
                <w14:textFill>
                  <w14:solidFill>
                    <w14:schemeClr w14:val="tx1"/>
                  </w14:solidFill>
                </w14:textFill>
              </w:rPr>
              <w:t>“</w:t>
            </w:r>
            <w:r>
              <w:rPr>
                <w:rFonts w:hint="default" w:ascii="Times New Roman" w:hAnsi="Times New Roman" w:eastAsia="仿宋" w:cs="Times New Roman"/>
                <w:color w:val="000000" w:themeColor="text1"/>
                <w:w w:val="100"/>
                <w:sz w:val="24"/>
                <w:szCs w:val="24"/>
                <w:lang w:val="en-US" w:eastAsia="zh-CN"/>
                <w14:textFill>
                  <w14:solidFill>
                    <w14:schemeClr w14:val="tx1"/>
                  </w14:solidFill>
                </w14:textFill>
              </w:rPr>
              <w:t>多证合一</w:t>
            </w:r>
            <w:r>
              <w:rPr>
                <w:rFonts w:hint="eastAsia" w:ascii="Times New Roman" w:hAnsi="Times New Roman" w:eastAsia="仿宋" w:cs="Times New Roman"/>
                <w:color w:val="000000" w:themeColor="text1"/>
                <w:w w:val="100"/>
                <w:sz w:val="24"/>
                <w:szCs w:val="24"/>
                <w:lang w:val="en-US" w:eastAsia="zh-CN"/>
                <w14:textFill>
                  <w14:solidFill>
                    <w14:schemeClr w14:val="tx1"/>
                  </w14:solidFill>
                </w14:textFill>
              </w:rPr>
              <w:t>”</w:t>
            </w:r>
            <w:r>
              <w:rPr>
                <w:rFonts w:hint="default" w:ascii="Times New Roman" w:hAnsi="Times New Roman" w:eastAsia="仿宋" w:cs="Times New Roman"/>
                <w:color w:val="000000" w:themeColor="text1"/>
                <w:w w:val="100"/>
                <w:sz w:val="24"/>
                <w:szCs w:val="24"/>
                <w:lang w:val="en-US" w:eastAsia="zh-CN"/>
                <w14:textFill>
                  <w14:solidFill>
                    <w14:schemeClr w14:val="tx1"/>
                  </w14:solidFill>
                </w14:textFill>
              </w:rPr>
              <w:t>电子证照的，要求必须提供纸质证照。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lang w:val="en-US" w:eastAsia="zh-CN"/>
                <w14:textFill>
                  <w14:solidFill>
                    <w14:schemeClr w14:val="tx1"/>
                  </w14:solidFill>
                </w14:textFill>
              </w:rPr>
            </w:pPr>
            <w:r>
              <w:rPr>
                <w:rFonts w:hint="default" w:ascii="Times New Roman" w:hAnsi="Times New Roman" w:eastAsia="仿宋" w:cs="Times New Roman"/>
                <w:color w:val="000000" w:themeColor="text1"/>
                <w:w w:val="100"/>
                <w:sz w:val="24"/>
                <w:szCs w:val="24"/>
                <w:lang w:val="en-US" w:eastAsia="zh-CN"/>
                <w14:textFill>
                  <w14:solidFill>
                    <w14:schemeClr w14:val="tx1"/>
                  </w14:solidFill>
                </w14:textFill>
              </w:rPr>
              <w:t>将装订、纸张、明显的文字错误等列为否决投标情形。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 w:cs="Times New Roman"/>
                <w:color w:val="000000" w:themeColor="text1"/>
                <w:sz w:val="28"/>
                <w:szCs w:val="28"/>
                <w14:textFill>
                  <w14:solidFill>
                    <w14:schemeClr w14:val="tx1"/>
                  </w14:solidFill>
                </w14:textFill>
              </w:rPr>
            </w:pPr>
          </w:p>
        </w:tc>
        <w:tc>
          <w:tcPr>
            <w:tcW w:w="5181" w:type="dxa"/>
            <w:vMerge w:val="continue"/>
            <w:noWrap w:val="0"/>
            <w:vAlign w:val="center"/>
          </w:tcPr>
          <w:p>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p>
        </w:tc>
        <w:tc>
          <w:tcPr>
            <w:tcW w:w="8705" w:type="dxa"/>
            <w:noWrap w:val="0"/>
            <w:vAlign w:val="top"/>
          </w:tcPr>
          <w:p>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仿宋" w:cs="Times New Roman"/>
                <w:color w:val="000000" w:themeColor="text1"/>
                <w:w w:val="100"/>
                <w:sz w:val="24"/>
                <w:szCs w:val="24"/>
                <w:lang w:val="en-US" w:eastAsia="zh-CN"/>
                <w14:textFill>
                  <w14:solidFill>
                    <w14:schemeClr w14:val="tx1"/>
                  </w14:solidFill>
                </w14:textFill>
              </w:rPr>
            </w:pPr>
            <w:r>
              <w:rPr>
                <w:rFonts w:hint="default" w:ascii="Times New Roman" w:hAnsi="Times New Roman" w:eastAsia="仿宋" w:cs="Times New Roman"/>
                <w:color w:val="000000" w:themeColor="text1"/>
                <w:w w:val="100"/>
                <w:sz w:val="24"/>
                <w:szCs w:val="24"/>
                <w:lang w:val="en-US" w:eastAsia="zh-CN"/>
                <w14:textFill>
                  <w14:solidFill>
                    <w14:schemeClr w14:val="tx1"/>
                  </w14:solidFill>
                </w14:textFill>
              </w:rPr>
              <w:t>其他违反公开、公平、公正和诚实信用原则的情形。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36" w:type="dxa"/>
            <w:gridSpan w:val="3"/>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Times New Roman" w:hAnsi="Times New Roman" w:eastAsia="仿宋" w:cs="Times New Roman"/>
                <w:color w:val="000000" w:themeColor="text1"/>
                <w:w w:val="100"/>
                <w:sz w:val="24"/>
                <w:szCs w:val="24"/>
                <w14:textFill>
                  <w14:solidFill>
                    <w14:schemeClr w14:val="tx1"/>
                  </w14:solidFill>
                </w14:textFill>
              </w:rPr>
            </w:pPr>
            <w:r>
              <w:rPr>
                <w:rFonts w:hint="eastAsia" w:ascii="Times New Roman" w:hAnsi="Times New Roman" w:eastAsia="楷体_GB2312" w:cs="楷体_GB2312"/>
                <w:color w:val="000000" w:themeColor="text1"/>
                <w:w w:val="100"/>
                <w:sz w:val="24"/>
                <w:szCs w:val="24"/>
                <w14:textFill>
                  <w14:solidFill>
                    <w14:schemeClr w14:val="tx1"/>
                  </w14:solidFill>
                </w14:textFill>
              </w:rPr>
              <w:t>注：理解和适用类型3，应区别对待招标人从项目本身具有的技术管理特点需要和所处自然环境条件的角度提出的业绩要求</w:t>
            </w:r>
            <w:r>
              <w:rPr>
                <w:rFonts w:hint="eastAsia" w:ascii="Times New Roman" w:hAnsi="Times New Roman" w:eastAsia="楷体_GB2312" w:cs="楷体_GB2312"/>
                <w:color w:val="000000" w:themeColor="text1"/>
                <w:w w:val="100"/>
                <w:sz w:val="24"/>
                <w:szCs w:val="24"/>
                <w:lang w:eastAsia="zh-CN"/>
                <w14:textFill>
                  <w14:solidFill>
                    <w14:schemeClr w14:val="tx1"/>
                  </w14:solidFill>
                </w14:textFill>
              </w:rPr>
              <w:t>。</w:t>
            </w:r>
            <w:r>
              <w:rPr>
                <w:rFonts w:hint="eastAsia" w:ascii="Times New Roman" w:hAnsi="Times New Roman" w:eastAsia="楷体_GB2312" w:cs="楷体_GB2312"/>
                <w:color w:val="000000" w:themeColor="text1"/>
                <w:w w:val="100"/>
                <w:sz w:val="24"/>
                <w:szCs w:val="24"/>
                <w14:textFill>
                  <w14:solidFill>
                    <w14:schemeClr w14:val="tx1"/>
                  </w14:solidFill>
                </w14:textFill>
              </w:rPr>
              <w:t>例如</w:t>
            </w:r>
            <w:r>
              <w:rPr>
                <w:rFonts w:hint="eastAsia" w:ascii="Times New Roman" w:hAnsi="Times New Roman" w:eastAsia="楷体_GB2312" w:cs="楷体_GB2312"/>
                <w:color w:val="000000" w:themeColor="text1"/>
                <w:w w:val="100"/>
                <w:sz w:val="24"/>
                <w:szCs w:val="24"/>
                <w:lang w:eastAsia="zh-CN"/>
                <w14:textFill>
                  <w14:solidFill>
                    <w14:schemeClr w14:val="tx1"/>
                  </w14:solidFill>
                </w14:textFill>
              </w:rPr>
              <w:t>：</w:t>
            </w:r>
            <w:r>
              <w:rPr>
                <w:rFonts w:hint="eastAsia" w:ascii="Times New Roman" w:hAnsi="Times New Roman" w:eastAsia="楷体_GB2312" w:cs="楷体_GB2312"/>
                <w:color w:val="000000" w:themeColor="text1"/>
                <w:w w:val="100"/>
                <w:sz w:val="24"/>
                <w:szCs w:val="24"/>
                <w14:textFill>
                  <w14:solidFill>
                    <w14:schemeClr w14:val="tx1"/>
                  </w14:solidFill>
                </w14:textFill>
              </w:rPr>
              <w:t>医疗建筑的医疗工艺设计具有特殊性，可设定医疗工艺设计业绩，但其施工、监理等并不具有特殊性，不应设定医疗建筑业绩；高原地区所处自然环境具有特殊性，可设定高海拔地区业绩。</w:t>
            </w:r>
          </w:p>
        </w:tc>
      </w:tr>
    </w:tbl>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b w:val="0"/>
          <w:bCs w:val="0"/>
          <w:i w:val="0"/>
          <w:iCs w:val="0"/>
          <w:caps w:val="0"/>
          <w:color w:val="000000"/>
          <w:spacing w:val="0"/>
          <w:w w:val="100"/>
          <w:sz w:val="32"/>
          <w:szCs w:val="32"/>
          <w:shd w:val="clear" w:color="auto"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w w:val="100"/>
          <w:sz w:val="32"/>
          <w:szCs w:val="32"/>
          <w:lang w:val="en-US" w:eastAsia="zh-CN"/>
        </w:rPr>
      </w:pPr>
    </w:p>
    <w:p>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w w:val="100"/>
          <w:sz w:val="32"/>
          <w:szCs w:val="32"/>
        </w:rPr>
      </w:pPr>
    </w:p>
    <w:sectPr>
      <w:pgSz w:w="16838" w:h="11906" w:orient="landscape"/>
      <w:pgMar w:top="1587" w:right="2098" w:bottom="1474" w:left="198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MWJlMzEzZTIxMzQ0MDkzMDk5YWE3Yjg0NmRhZTgifQ=="/>
  </w:docVars>
  <w:rsids>
    <w:rsidRoot w:val="4CB7652A"/>
    <w:rsid w:val="2F9F7C6B"/>
    <w:rsid w:val="4CB765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w w:val="80"/>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4795</Words>
  <Characters>4830</Characters>
  <Lines>0</Lines>
  <Paragraphs>0</Paragraphs>
  <TotalTime>8</TotalTime>
  <ScaleCrop>false</ScaleCrop>
  <LinksUpToDate>false</LinksUpToDate>
  <CharactersWithSpaces>5827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2023-05-09T08:20:00Z</dcterms:created>
  <dc:creator>管理科 张代青</dc:creator>
  <cp:lastModifiedBy>管理科 张代青</cp:lastModifiedBy>
  <dcterms:modified xsi:type="dcterms:W3CDTF">2023-05-09T08:37:23Z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E1B9207CB60D4B868C123CE95A6A9101_11</vt:lpwstr>
  </property>
</Properties>
</file>