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E0E" w:rsidRDefault="00154E0E" w:rsidP="00EB1884">
      <w:pPr>
        <w:snapToGrid w:val="0"/>
        <w:spacing w:line="600" w:lineRule="exact"/>
        <w:rPr>
          <w:rFonts w:ascii="方正小标宋简体" w:eastAsia="方正小标宋简体" w:hAnsi="新宋体" w:cs="Times New Roman"/>
          <w:sz w:val="44"/>
          <w:szCs w:val="44"/>
        </w:rPr>
      </w:pPr>
    </w:p>
    <w:p w:rsidR="00154E0E" w:rsidRDefault="00154E0E" w:rsidP="00EB1884">
      <w:pPr>
        <w:pStyle w:val="BodyTextFirstIndent2"/>
        <w:snapToGrid w:val="0"/>
        <w:spacing w:line="600" w:lineRule="exact"/>
        <w:ind w:firstLineChars="0" w:firstLine="0"/>
        <w:rPr>
          <w:rFonts w:cs="Times New Roman"/>
        </w:rPr>
      </w:pPr>
    </w:p>
    <w:p w:rsidR="00154E0E" w:rsidRDefault="00154E0E" w:rsidP="00EB1884">
      <w:pPr>
        <w:pStyle w:val="BodyTextFirstIndent2"/>
        <w:snapToGrid w:val="0"/>
        <w:spacing w:line="600" w:lineRule="exact"/>
        <w:ind w:firstLineChars="0" w:firstLine="0"/>
        <w:rPr>
          <w:rFonts w:cs="Times New Roman"/>
        </w:rPr>
      </w:pPr>
    </w:p>
    <w:p w:rsidR="00154E0E" w:rsidRDefault="00154E0E" w:rsidP="00EB1884">
      <w:pPr>
        <w:pStyle w:val="BodyTextFirstIndent2"/>
        <w:snapToGrid w:val="0"/>
        <w:spacing w:line="600" w:lineRule="exact"/>
        <w:ind w:firstLineChars="0" w:firstLine="0"/>
        <w:rPr>
          <w:rFonts w:cs="Times New Roman"/>
        </w:rPr>
      </w:pPr>
    </w:p>
    <w:p w:rsidR="00154E0E" w:rsidRDefault="00154E0E" w:rsidP="00EB1884">
      <w:pPr>
        <w:pStyle w:val="BodyTextFirstIndent2"/>
        <w:snapToGrid w:val="0"/>
        <w:spacing w:line="600" w:lineRule="exact"/>
        <w:ind w:firstLineChars="0" w:firstLine="0"/>
        <w:rPr>
          <w:rFonts w:cs="Times New Roman"/>
        </w:rPr>
      </w:pPr>
    </w:p>
    <w:p w:rsidR="00154E0E" w:rsidRPr="00EB1884" w:rsidRDefault="00154E0E" w:rsidP="00EB1884">
      <w:pPr>
        <w:pStyle w:val="BodyTextFirstIndent2"/>
        <w:snapToGrid w:val="0"/>
        <w:spacing w:line="600" w:lineRule="exact"/>
        <w:ind w:firstLineChars="0" w:firstLine="0"/>
        <w:rPr>
          <w:rFonts w:cs="Times New Roman"/>
        </w:rPr>
      </w:pPr>
    </w:p>
    <w:p w:rsidR="00154E0E" w:rsidRPr="00063219" w:rsidRDefault="00154E0E" w:rsidP="00EB1884">
      <w:pPr>
        <w:adjustRightInd w:val="0"/>
        <w:snapToGrid w:val="0"/>
        <w:spacing w:line="600" w:lineRule="exact"/>
        <w:jc w:val="center"/>
        <w:rPr>
          <w:rFonts w:ascii="仿宋_GB2312" w:eastAsia="仿宋_GB2312" w:cs="Times New Roman"/>
        </w:rPr>
      </w:pPr>
      <w:r w:rsidRPr="00063219">
        <w:rPr>
          <w:rFonts w:ascii="仿宋_GB2312" w:eastAsia="仿宋_GB2312" w:hAnsi="仿宋_GB2312" w:cs="仿宋_GB2312" w:hint="eastAsia"/>
        </w:rPr>
        <w:t>随公管文〔</w:t>
      </w:r>
      <w:r w:rsidRPr="00063219">
        <w:rPr>
          <w:rFonts w:ascii="仿宋_GB2312" w:eastAsia="仿宋_GB2312" w:hAnsi="仿宋_GB2312" w:cs="仿宋_GB2312"/>
        </w:rPr>
        <w:t>2023</w:t>
      </w:r>
      <w:r w:rsidRPr="00063219">
        <w:rPr>
          <w:rFonts w:ascii="仿宋_GB2312" w:eastAsia="仿宋_GB2312" w:hAnsi="仿宋_GB2312" w:cs="仿宋_GB2312" w:hint="eastAsia"/>
        </w:rPr>
        <w:t>〕</w:t>
      </w:r>
      <w:r>
        <w:rPr>
          <w:rFonts w:ascii="仿宋_GB2312" w:eastAsia="仿宋_GB2312" w:hAnsi="仿宋_GB2312" w:cs="仿宋_GB2312"/>
        </w:rPr>
        <w:t>6</w:t>
      </w:r>
      <w:r w:rsidRPr="00063219">
        <w:rPr>
          <w:rFonts w:ascii="仿宋_GB2312" w:eastAsia="仿宋_GB2312" w:hAnsi="仿宋_GB2312" w:cs="仿宋_GB2312" w:hint="eastAsia"/>
        </w:rPr>
        <w:t>号</w:t>
      </w:r>
    </w:p>
    <w:p w:rsidR="00154E0E" w:rsidRDefault="00154E0E" w:rsidP="00EB1884">
      <w:pPr>
        <w:snapToGrid w:val="0"/>
        <w:spacing w:line="600" w:lineRule="exact"/>
        <w:rPr>
          <w:rFonts w:ascii="方正小标宋简体" w:eastAsia="方正小标宋简体" w:hAnsi="新宋体" w:cs="Times New Roman"/>
          <w:sz w:val="44"/>
          <w:szCs w:val="44"/>
        </w:rPr>
      </w:pPr>
    </w:p>
    <w:p w:rsidR="00154E0E" w:rsidRDefault="00154E0E" w:rsidP="00EB1884">
      <w:pPr>
        <w:snapToGrid w:val="0"/>
        <w:spacing w:line="600" w:lineRule="exact"/>
        <w:jc w:val="center"/>
        <w:rPr>
          <w:rFonts w:ascii="方正小标宋简体" w:eastAsia="方正小标宋简体" w:hAnsi="新宋体" w:cs="Times New Roman"/>
          <w:sz w:val="44"/>
          <w:szCs w:val="44"/>
        </w:rPr>
      </w:pPr>
    </w:p>
    <w:p w:rsidR="00154E0E" w:rsidRPr="00EB1884" w:rsidRDefault="00154E0E" w:rsidP="00EB1884">
      <w:pPr>
        <w:snapToGrid w:val="0"/>
        <w:spacing w:line="600" w:lineRule="exact"/>
        <w:jc w:val="center"/>
        <w:rPr>
          <w:rFonts w:ascii="方正小标宋简体" w:eastAsia="方正小标宋简体" w:hAnsi="黑体" w:cs="Times New Roman"/>
          <w:sz w:val="44"/>
          <w:szCs w:val="44"/>
        </w:rPr>
      </w:pPr>
      <w:r w:rsidRPr="00EB1884">
        <w:rPr>
          <w:rFonts w:ascii="方正小标宋简体" w:eastAsia="方正小标宋简体" w:hAnsi="黑体" w:cs="方正小标宋简体" w:hint="eastAsia"/>
          <w:sz w:val="44"/>
          <w:szCs w:val="44"/>
        </w:rPr>
        <w:t>关于印发《随州市工程建设项目招标人</w:t>
      </w:r>
    </w:p>
    <w:p w:rsidR="00154E0E" w:rsidRPr="00EB1884" w:rsidRDefault="00154E0E" w:rsidP="00EB1884">
      <w:pPr>
        <w:snapToGrid w:val="0"/>
        <w:spacing w:line="600" w:lineRule="exact"/>
        <w:jc w:val="center"/>
        <w:rPr>
          <w:rFonts w:ascii="方正小标宋简体" w:eastAsia="方正小标宋简体" w:hAnsi="黑体" w:cs="Times New Roman"/>
          <w:sz w:val="44"/>
          <w:szCs w:val="44"/>
        </w:rPr>
      </w:pPr>
      <w:r w:rsidRPr="00EB1884">
        <w:rPr>
          <w:rFonts w:ascii="方正小标宋简体" w:eastAsia="方正小标宋简体" w:hAnsi="黑体" w:cs="方正小标宋简体" w:hint="eastAsia"/>
          <w:sz w:val="44"/>
          <w:szCs w:val="44"/>
        </w:rPr>
        <w:t>信用管理办法（试行）》的通知</w:t>
      </w:r>
    </w:p>
    <w:p w:rsidR="00154E0E" w:rsidRPr="00EB1884" w:rsidRDefault="00154E0E" w:rsidP="00EB1884">
      <w:pPr>
        <w:pStyle w:val="BodyTextFirstIndent2"/>
        <w:snapToGrid w:val="0"/>
        <w:spacing w:line="600" w:lineRule="exact"/>
        <w:ind w:firstLine="31680"/>
        <w:rPr>
          <w:rFonts w:ascii="仿宋_GB2312" w:hAnsi="新宋体" w:cs="Times New Roman"/>
          <w:sz w:val="44"/>
          <w:szCs w:val="44"/>
        </w:rPr>
      </w:pPr>
    </w:p>
    <w:p w:rsidR="00154E0E" w:rsidRPr="00EB1884" w:rsidRDefault="00154E0E" w:rsidP="00EB1884">
      <w:pPr>
        <w:pStyle w:val="NormalWeb"/>
        <w:shd w:val="clear" w:color="auto" w:fill="FFFFFF"/>
        <w:snapToGrid w:val="0"/>
        <w:spacing w:beforeAutospacing="0" w:afterAutospacing="0" w:line="600" w:lineRule="exact"/>
        <w:rPr>
          <w:rFonts w:ascii="仿宋_GB2312" w:eastAsia="仿宋_GB2312" w:hAnsi="仿宋" w:cs="Times New Roman"/>
          <w:sz w:val="32"/>
          <w:szCs w:val="32"/>
        </w:rPr>
      </w:pPr>
      <w:r w:rsidRPr="00EB1884">
        <w:rPr>
          <w:rFonts w:ascii="仿宋_GB2312" w:eastAsia="仿宋_GB2312" w:hAnsi="仿宋" w:cs="仿宋_GB2312" w:hint="eastAsia"/>
          <w:sz w:val="32"/>
          <w:szCs w:val="32"/>
        </w:rPr>
        <w:t>各县、市、区公共资源交易监督管理局，各招标人、招标代理机构：</w:t>
      </w:r>
    </w:p>
    <w:p w:rsidR="00154E0E" w:rsidRPr="00EB1884" w:rsidRDefault="00154E0E" w:rsidP="00EB1884">
      <w:pPr>
        <w:widowControl/>
        <w:snapToGrid w:val="0"/>
        <w:spacing w:line="600" w:lineRule="exact"/>
        <w:ind w:firstLineChars="200" w:firstLine="31680"/>
        <w:rPr>
          <w:rFonts w:ascii="仿宋_GB2312" w:eastAsia="仿宋_GB2312" w:hAnsi="仿宋" w:cs="Times New Roman"/>
          <w:spacing w:val="5"/>
          <w:kern w:val="0"/>
        </w:rPr>
      </w:pPr>
      <w:r w:rsidRPr="00EB1884">
        <w:rPr>
          <w:rFonts w:ascii="仿宋_GB2312" w:eastAsia="仿宋_GB2312" w:hAnsi="仿宋" w:cs="仿宋_GB2312" w:hint="eastAsia"/>
        </w:rPr>
        <w:t>为规范我市公共资源招标投标市场秩序，进一步加强招标人信用管理，营造诚实守信、合法经营的交易环境，现将《随州市工程建设项目招标人信用管理办法（试行）》印发给你们，</w:t>
      </w:r>
      <w:r w:rsidRPr="00EB1884">
        <w:rPr>
          <w:rFonts w:ascii="仿宋_GB2312" w:eastAsia="仿宋_GB2312" w:hAnsi="仿宋" w:cs="仿宋_GB2312" w:hint="eastAsia"/>
          <w:spacing w:val="5"/>
          <w:kern w:val="0"/>
        </w:rPr>
        <w:t>请贯彻执行。</w:t>
      </w:r>
    </w:p>
    <w:p w:rsidR="00154E0E" w:rsidRPr="00EB1884" w:rsidRDefault="00154E0E" w:rsidP="00EB1884">
      <w:pPr>
        <w:pStyle w:val="BodyTextFirstIndent2"/>
        <w:snapToGrid w:val="0"/>
        <w:spacing w:line="600" w:lineRule="exact"/>
        <w:ind w:firstLine="31680"/>
        <w:rPr>
          <w:rFonts w:ascii="仿宋_GB2312" w:cs="Times New Roman"/>
          <w:spacing w:val="5"/>
          <w:kern w:val="0"/>
        </w:rPr>
      </w:pPr>
    </w:p>
    <w:p w:rsidR="00154E0E" w:rsidRPr="00EB1884" w:rsidRDefault="00154E0E" w:rsidP="00EB1884">
      <w:pPr>
        <w:pStyle w:val="BodyTextFirstIndent2"/>
        <w:snapToGrid w:val="0"/>
        <w:spacing w:line="600" w:lineRule="exact"/>
        <w:ind w:firstLine="31680"/>
        <w:rPr>
          <w:rFonts w:ascii="仿宋_GB2312" w:cs="Times New Roman"/>
        </w:rPr>
      </w:pPr>
    </w:p>
    <w:p w:rsidR="00154E0E" w:rsidRPr="00EB1884" w:rsidRDefault="00154E0E" w:rsidP="00EB1884">
      <w:pPr>
        <w:widowControl/>
        <w:snapToGrid w:val="0"/>
        <w:spacing w:line="600" w:lineRule="exact"/>
        <w:ind w:rightChars="191" w:right="31680" w:firstLineChars="200" w:firstLine="31680"/>
        <w:jc w:val="right"/>
        <w:rPr>
          <w:rFonts w:ascii="仿宋_GB2312" w:eastAsia="仿宋_GB2312" w:hAnsi="仿宋_GB2312" w:cs="Times New Roman"/>
          <w:spacing w:val="5"/>
          <w:kern w:val="0"/>
        </w:rPr>
      </w:pPr>
      <w:r w:rsidRPr="00EB1884">
        <w:rPr>
          <w:rFonts w:ascii="仿宋_GB2312" w:eastAsia="仿宋_GB2312" w:hAnsi="仿宋_GB2312" w:cs="仿宋_GB2312" w:hint="eastAsia"/>
          <w:spacing w:val="5"/>
          <w:kern w:val="0"/>
        </w:rPr>
        <w:t>市公共资源交易监督管理局</w:t>
      </w:r>
    </w:p>
    <w:p w:rsidR="00154E0E" w:rsidRPr="00EB1884" w:rsidRDefault="00154E0E" w:rsidP="00EB1884">
      <w:pPr>
        <w:pStyle w:val="BodyTextFirstIndent2"/>
        <w:snapToGrid w:val="0"/>
        <w:spacing w:line="600" w:lineRule="exact"/>
        <w:ind w:rightChars="423" w:right="31680" w:firstLineChars="0" w:firstLine="0"/>
        <w:jc w:val="right"/>
        <w:rPr>
          <w:rFonts w:ascii="仿宋_GB2312" w:cs="Times New Roman"/>
          <w:b w:val="0"/>
          <w:bCs w:val="0"/>
          <w:spacing w:val="5"/>
          <w:kern w:val="0"/>
        </w:rPr>
      </w:pPr>
      <w:r w:rsidRPr="00EB1884">
        <w:rPr>
          <w:rFonts w:ascii="仿宋_GB2312" w:hAnsi="仿宋_GB2312" w:cs="仿宋_GB2312"/>
          <w:b w:val="0"/>
          <w:bCs w:val="0"/>
          <w:spacing w:val="5"/>
          <w:kern w:val="0"/>
        </w:rPr>
        <w:t>2023</w:t>
      </w:r>
      <w:r w:rsidRPr="00EB1884">
        <w:rPr>
          <w:rFonts w:ascii="仿宋_GB2312" w:hAnsi="仿宋_GB2312" w:cs="仿宋_GB2312" w:hint="eastAsia"/>
          <w:b w:val="0"/>
          <w:bCs w:val="0"/>
          <w:spacing w:val="5"/>
          <w:kern w:val="0"/>
        </w:rPr>
        <w:t>年</w:t>
      </w:r>
      <w:r w:rsidRPr="00EB1884">
        <w:rPr>
          <w:rFonts w:ascii="仿宋_GB2312" w:hAnsi="仿宋_GB2312" w:cs="仿宋_GB2312"/>
          <w:b w:val="0"/>
          <w:bCs w:val="0"/>
          <w:spacing w:val="5"/>
          <w:kern w:val="0"/>
        </w:rPr>
        <w:t>6</w:t>
      </w:r>
      <w:r w:rsidRPr="00EB1884">
        <w:rPr>
          <w:rFonts w:ascii="仿宋_GB2312" w:hAnsi="仿宋_GB2312" w:cs="仿宋_GB2312" w:hint="eastAsia"/>
          <w:b w:val="0"/>
          <w:bCs w:val="0"/>
          <w:spacing w:val="5"/>
          <w:kern w:val="0"/>
        </w:rPr>
        <w:t>月</w:t>
      </w:r>
      <w:r w:rsidRPr="00EB1884">
        <w:rPr>
          <w:rFonts w:ascii="仿宋_GB2312" w:hAnsi="仿宋_GB2312" w:cs="仿宋_GB2312"/>
          <w:b w:val="0"/>
          <w:bCs w:val="0"/>
          <w:spacing w:val="5"/>
          <w:kern w:val="0"/>
        </w:rPr>
        <w:t>28</w:t>
      </w:r>
      <w:r w:rsidRPr="00EB1884">
        <w:rPr>
          <w:rFonts w:ascii="仿宋_GB2312" w:hAnsi="仿宋_GB2312" w:cs="仿宋_GB2312" w:hint="eastAsia"/>
          <w:b w:val="0"/>
          <w:bCs w:val="0"/>
          <w:spacing w:val="5"/>
          <w:kern w:val="0"/>
        </w:rPr>
        <w:t>日</w:t>
      </w:r>
    </w:p>
    <w:p w:rsidR="00154E0E" w:rsidRDefault="00154E0E" w:rsidP="00794F13">
      <w:pPr>
        <w:pStyle w:val="BodyTextFirstIndent2"/>
        <w:snapToGrid w:val="0"/>
        <w:spacing w:line="500" w:lineRule="exact"/>
        <w:ind w:rightChars="-18" w:right="31680" w:firstLineChars="0" w:firstLine="0"/>
        <w:jc w:val="center"/>
        <w:rPr>
          <w:rFonts w:ascii="仿宋_GB2312" w:cs="Times New Roman"/>
          <w:b w:val="0"/>
          <w:bCs w:val="0"/>
          <w:spacing w:val="5"/>
          <w:kern w:val="0"/>
        </w:rPr>
      </w:pPr>
      <w:r>
        <w:rPr>
          <w:rFonts w:ascii="仿宋_GB2312" w:cs="Times New Roman"/>
          <w:b w:val="0"/>
          <w:bCs w:val="0"/>
          <w:spacing w:val="5"/>
          <w:kern w:val="0"/>
        </w:rPr>
        <w:br w:type="page"/>
      </w:r>
    </w:p>
    <w:p w:rsidR="00154E0E" w:rsidRDefault="00154E0E" w:rsidP="00794F13">
      <w:pPr>
        <w:pStyle w:val="BodyTextFirstIndent2"/>
        <w:snapToGrid w:val="0"/>
        <w:spacing w:line="500" w:lineRule="exact"/>
        <w:ind w:rightChars="-18" w:right="31680" w:firstLineChars="0" w:firstLine="0"/>
        <w:jc w:val="center"/>
        <w:rPr>
          <w:rFonts w:ascii="仿宋_GB2312" w:cs="Times New Roman"/>
          <w:b w:val="0"/>
          <w:bCs w:val="0"/>
          <w:spacing w:val="5"/>
          <w:kern w:val="0"/>
        </w:rPr>
      </w:pPr>
    </w:p>
    <w:p w:rsidR="00154E0E" w:rsidRPr="00794F13" w:rsidRDefault="00154E0E" w:rsidP="00794F13">
      <w:pPr>
        <w:snapToGrid w:val="0"/>
        <w:spacing w:line="560" w:lineRule="exact"/>
        <w:jc w:val="center"/>
        <w:rPr>
          <w:rFonts w:ascii="方正小标宋简体" w:eastAsia="方正小标宋简体" w:hAnsi="黑体" w:cs="Times New Roman"/>
          <w:sz w:val="44"/>
          <w:szCs w:val="44"/>
        </w:rPr>
      </w:pPr>
      <w:r w:rsidRPr="00794F13">
        <w:rPr>
          <w:rFonts w:ascii="方正小标宋简体" w:eastAsia="方正小标宋简体" w:hAnsi="黑体" w:cs="方正小标宋简体" w:hint="eastAsia"/>
          <w:sz w:val="44"/>
          <w:szCs w:val="44"/>
        </w:rPr>
        <w:t>随州市工程建设项目招标人</w:t>
      </w:r>
    </w:p>
    <w:p w:rsidR="00154E0E" w:rsidRPr="00794F13" w:rsidRDefault="00154E0E" w:rsidP="00794F13">
      <w:pPr>
        <w:snapToGrid w:val="0"/>
        <w:spacing w:line="560" w:lineRule="exact"/>
        <w:jc w:val="center"/>
        <w:rPr>
          <w:rFonts w:ascii="方正小标宋简体" w:eastAsia="方正小标宋简体" w:hAnsi="黑体" w:cs="Times New Roman"/>
          <w:sz w:val="44"/>
          <w:szCs w:val="44"/>
        </w:rPr>
      </w:pPr>
      <w:r w:rsidRPr="00794F13">
        <w:rPr>
          <w:rFonts w:ascii="方正小标宋简体" w:eastAsia="方正小标宋简体" w:hAnsi="黑体" w:cs="方正小标宋简体" w:hint="eastAsia"/>
          <w:sz w:val="44"/>
          <w:szCs w:val="44"/>
        </w:rPr>
        <w:t>信用管理办法（试行）</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jc w:val="center"/>
        <w:rPr>
          <w:rFonts w:ascii="仿宋_GB2312" w:eastAsia="仿宋_GB2312" w:hAnsi="微软雅黑" w:cs="Times New Roman"/>
          <w:b/>
          <w:bCs/>
          <w:sz w:val="32"/>
          <w:szCs w:val="32"/>
        </w:rPr>
      </w:pPr>
    </w:p>
    <w:p w:rsidR="00154E0E" w:rsidRPr="00794F13" w:rsidRDefault="00154E0E" w:rsidP="00794F13">
      <w:pPr>
        <w:pStyle w:val="NormalWeb"/>
        <w:shd w:val="clear" w:color="auto" w:fill="FFFFFF"/>
        <w:adjustRightInd w:val="0"/>
        <w:snapToGrid w:val="0"/>
        <w:spacing w:beforeLines="50" w:beforeAutospacing="0" w:afterLines="50" w:afterAutospacing="0" w:line="600" w:lineRule="exact"/>
        <w:jc w:val="center"/>
        <w:rPr>
          <w:rFonts w:ascii="黑体" w:eastAsia="黑体" w:hAnsi="黑体" w:cs="Times New Roman"/>
          <w:sz w:val="32"/>
          <w:szCs w:val="32"/>
        </w:rPr>
      </w:pPr>
      <w:r w:rsidRPr="00794F13">
        <w:rPr>
          <w:rFonts w:ascii="黑体" w:eastAsia="黑体" w:hAnsi="黑体" w:cs="黑体" w:hint="eastAsia"/>
          <w:sz w:val="32"/>
          <w:szCs w:val="32"/>
        </w:rPr>
        <w:t>第一章</w:t>
      </w:r>
      <w:r w:rsidRPr="00794F13">
        <w:rPr>
          <w:rFonts w:ascii="黑体" w:eastAsia="黑体" w:hAnsi="黑体" w:cs="黑体"/>
          <w:sz w:val="32"/>
          <w:szCs w:val="32"/>
        </w:rPr>
        <w:t xml:space="preserve">  </w:t>
      </w:r>
      <w:r w:rsidRPr="00794F13">
        <w:rPr>
          <w:rFonts w:ascii="黑体" w:eastAsia="黑体" w:hAnsi="黑体" w:cs="黑体" w:hint="eastAsia"/>
          <w:sz w:val="32"/>
          <w:szCs w:val="32"/>
        </w:rPr>
        <w:t>总　则</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第一条</w:t>
      </w:r>
      <w:r w:rsidRPr="00794F13">
        <w:rPr>
          <w:rFonts w:ascii="仿宋_GB2312" w:eastAsia="仿宋_GB2312" w:hAnsi="仿宋" w:cs="仿宋_GB2312" w:hint="eastAsia"/>
          <w:sz w:val="32"/>
          <w:szCs w:val="32"/>
        </w:rPr>
        <w:t xml:space="preserve">　为推进工程建设领域信用体系建设，规范招标投标行为，根据《中华人民共和国招标投标法》《中华人民共和国招标投标法实施条例》《湖北省公共资源招标投标监督管理条例》等法律法规和文件精神，制定本办法。</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第二条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随州市行政区域内依法必须招标的工程建设项目招标人信用管理行为，适用本办法。</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仿宋_GB2312" w:eastAsia="仿宋_GB2312" w:hAnsi="仿宋" w:cs="仿宋_GB2312" w:hint="eastAsia"/>
          <w:sz w:val="32"/>
          <w:szCs w:val="32"/>
        </w:rPr>
        <w:t>本办法所称招标人是指使用财政、国有资金、国际组织或者外国政府贷款、援助资金的项目依法对公共资源集中交易目录以内的工程及货物、服务开展招投标活动的法人或其他组织。</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仿宋_GB2312" w:eastAsia="仿宋_GB2312" w:hAnsi="仿宋" w:cs="仿宋_GB2312" w:hint="eastAsia"/>
          <w:sz w:val="32"/>
          <w:szCs w:val="32"/>
        </w:rPr>
        <w:t>本办法所称信用管理，是指对招标人在招标投标活动中发生的失信行为进行认定、记录、处理、应用。</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第三条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失信行为根据失信程度划分为严重失信行为和一般失信行为两个等级。</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第四条</w:t>
      </w:r>
      <w:r w:rsidRPr="00794F13">
        <w:rPr>
          <w:rFonts w:ascii="仿宋_GB2312" w:eastAsia="仿宋_GB2312" w:hAnsi="黑体" w:cs="仿宋_GB2312"/>
          <w:b/>
          <w:bCs/>
          <w:sz w:val="32"/>
          <w:szCs w:val="32"/>
        </w:rPr>
        <w:t xml:space="preserve">  </w:t>
      </w:r>
      <w:r w:rsidRPr="00794F13">
        <w:rPr>
          <w:rFonts w:ascii="仿宋_GB2312" w:eastAsia="仿宋_GB2312" w:hAnsi="仿宋" w:cs="仿宋_GB2312" w:hint="eastAsia"/>
          <w:sz w:val="32"/>
          <w:szCs w:val="32"/>
        </w:rPr>
        <w:t>对招标人信用管理应当遵循公开、公平、公正和合法规范的原则。</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第五条</w:t>
      </w:r>
      <w:r w:rsidRPr="00794F13">
        <w:rPr>
          <w:rFonts w:ascii="仿宋_GB2312" w:eastAsia="仿宋_GB2312" w:hAnsi="黑体" w:cs="仿宋_GB2312"/>
          <w:b/>
          <w:bCs/>
          <w:sz w:val="32"/>
          <w:szCs w:val="32"/>
        </w:rPr>
        <w:t xml:space="preserve">  </w:t>
      </w:r>
      <w:r w:rsidRPr="00794F13">
        <w:rPr>
          <w:rFonts w:ascii="仿宋_GB2312" w:eastAsia="仿宋_GB2312" w:hAnsi="仿宋" w:cs="仿宋_GB2312" w:hint="eastAsia"/>
          <w:sz w:val="32"/>
          <w:szCs w:val="32"/>
        </w:rPr>
        <w:t>随州市公共资源交易综合监管部门和各建设行政主管部门负责各自职责范围内招标人信用管理工作。</w:t>
      </w:r>
    </w:p>
    <w:p w:rsidR="00154E0E" w:rsidRPr="00794F13" w:rsidRDefault="00154E0E" w:rsidP="00794F13">
      <w:pPr>
        <w:pStyle w:val="NormalWeb"/>
        <w:shd w:val="clear" w:color="auto" w:fill="FFFFFF"/>
        <w:adjustRightInd w:val="0"/>
        <w:snapToGrid w:val="0"/>
        <w:spacing w:beforeLines="50" w:beforeAutospacing="0" w:afterLines="50" w:afterAutospacing="0" w:line="600" w:lineRule="exact"/>
        <w:jc w:val="center"/>
        <w:rPr>
          <w:rFonts w:ascii="黑体" w:eastAsia="黑体" w:hAnsi="黑体" w:cs="Times New Roman"/>
          <w:sz w:val="32"/>
          <w:szCs w:val="32"/>
        </w:rPr>
      </w:pPr>
      <w:r w:rsidRPr="00794F13">
        <w:rPr>
          <w:rFonts w:ascii="黑体" w:eastAsia="黑体" w:hAnsi="黑体" w:cs="黑体" w:hint="eastAsia"/>
          <w:sz w:val="32"/>
          <w:szCs w:val="32"/>
        </w:rPr>
        <w:t>第二章</w:t>
      </w:r>
      <w:r w:rsidRPr="00794F13">
        <w:rPr>
          <w:rFonts w:ascii="黑体" w:eastAsia="黑体" w:hAnsi="黑体" w:cs="黑体"/>
          <w:sz w:val="32"/>
          <w:szCs w:val="32"/>
        </w:rPr>
        <w:t xml:space="preserve">  </w:t>
      </w:r>
      <w:r w:rsidRPr="00794F13">
        <w:rPr>
          <w:rFonts w:ascii="黑体" w:eastAsia="黑体" w:hAnsi="黑体" w:cs="黑体" w:hint="eastAsia"/>
          <w:sz w:val="32"/>
          <w:szCs w:val="32"/>
        </w:rPr>
        <w:t>招标人失信行为</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第六条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招标人有下列情形之一的，属于失信行为：</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仿宋_GB2312" w:eastAsia="仿宋_GB2312" w:hAnsi="仿宋" w:cs="仿宋_GB2312"/>
          <w:sz w:val="32"/>
          <w:szCs w:val="32"/>
        </w:rPr>
        <w:t>1.</w:t>
      </w:r>
      <w:r w:rsidRPr="00794F13">
        <w:rPr>
          <w:rFonts w:ascii="仿宋_GB2312" w:eastAsia="仿宋_GB2312" w:hAnsi="仿宋" w:cs="仿宋_GB2312" w:hint="eastAsia"/>
          <w:sz w:val="32"/>
          <w:szCs w:val="32"/>
        </w:rPr>
        <w:t>应当进入公共资源交易中心交易而不进入的；</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仿宋_GB2312" w:eastAsia="仿宋_GB2312" w:hAnsi="仿宋" w:cs="仿宋_GB2312"/>
          <w:sz w:val="32"/>
          <w:szCs w:val="32"/>
        </w:rPr>
        <w:t>2.</w:t>
      </w:r>
      <w:r w:rsidRPr="00794F13">
        <w:rPr>
          <w:rFonts w:ascii="仿宋_GB2312" w:eastAsia="仿宋_GB2312" w:hAnsi="仿宋" w:cs="仿宋_GB2312" w:hint="eastAsia"/>
          <w:sz w:val="32"/>
          <w:szCs w:val="32"/>
        </w:rPr>
        <w:t>未按法律、法规规定选择招标方式，且经相关部门提出后拒不改正的；</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仿宋_GB2312" w:eastAsia="仿宋_GB2312" w:hAnsi="仿宋" w:cs="仿宋_GB2312"/>
          <w:sz w:val="32"/>
          <w:szCs w:val="32"/>
        </w:rPr>
        <w:t>3.</w:t>
      </w:r>
      <w:r w:rsidRPr="00794F13">
        <w:rPr>
          <w:rFonts w:ascii="仿宋_GB2312" w:eastAsia="仿宋_GB2312" w:hAnsi="仿宋" w:cs="仿宋_GB2312" w:hint="eastAsia"/>
          <w:sz w:val="32"/>
          <w:szCs w:val="32"/>
        </w:rPr>
        <w:t>将应当进行公开招标的项目化整为零或者以其他任何方式规避公开招标，且经相关部门提出后拒不改正的；</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仿宋_GB2312" w:eastAsia="仿宋_GB2312" w:hAnsi="仿宋" w:cs="仿宋_GB2312"/>
          <w:sz w:val="32"/>
          <w:szCs w:val="32"/>
        </w:rPr>
        <w:t>4.</w:t>
      </w:r>
      <w:r w:rsidRPr="00794F13">
        <w:rPr>
          <w:rFonts w:ascii="仿宋_GB2312" w:eastAsia="仿宋_GB2312" w:hAnsi="仿宋" w:cs="仿宋_GB2312" w:hint="eastAsia"/>
          <w:sz w:val="32"/>
          <w:szCs w:val="32"/>
        </w:rPr>
        <w:t>未依法在指定媒体上发布招标信息，且经相关部门提出后拒不改正的；</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jc w:val="both"/>
        <w:rPr>
          <w:rFonts w:ascii="仿宋_GB2312" w:eastAsia="仿宋_GB2312" w:hAnsi="仿宋" w:cs="Times New Roman"/>
          <w:sz w:val="32"/>
          <w:szCs w:val="32"/>
        </w:rPr>
      </w:pPr>
      <w:r w:rsidRPr="00794F13">
        <w:rPr>
          <w:rFonts w:ascii="仿宋_GB2312" w:eastAsia="仿宋_GB2312" w:hAnsi="仿宋" w:cs="仿宋_GB2312"/>
          <w:sz w:val="32"/>
          <w:szCs w:val="32"/>
        </w:rPr>
        <w:t>5.</w:t>
      </w:r>
      <w:r w:rsidRPr="00794F13">
        <w:rPr>
          <w:rFonts w:ascii="仿宋_GB2312" w:eastAsia="仿宋_GB2312" w:hAnsi="仿宋" w:cs="仿宋_GB2312" w:hint="eastAsia"/>
          <w:sz w:val="32"/>
          <w:szCs w:val="32"/>
        </w:rPr>
        <w:t>无正当理由不发出中标通知书；</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仿宋_GB2312" w:eastAsia="仿宋_GB2312" w:hAnsi="仿宋" w:cs="仿宋_GB2312"/>
          <w:sz w:val="32"/>
          <w:szCs w:val="32"/>
        </w:rPr>
        <w:t>6.</w:t>
      </w:r>
      <w:r w:rsidRPr="00794F13">
        <w:rPr>
          <w:rFonts w:ascii="仿宋_GB2312" w:eastAsia="仿宋_GB2312" w:hAnsi="仿宋" w:cs="仿宋_GB2312" w:hint="eastAsia"/>
          <w:sz w:val="32"/>
          <w:szCs w:val="32"/>
        </w:rPr>
        <w:t>不按照招标文件和中标人的投标文件订立合同，未按合同履约的；</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仿宋_GB2312" w:eastAsia="仿宋_GB2312" w:hAnsi="仿宋" w:cs="仿宋_GB2312"/>
          <w:sz w:val="32"/>
          <w:szCs w:val="32"/>
        </w:rPr>
        <w:t>7.</w:t>
      </w:r>
      <w:r w:rsidRPr="00794F13">
        <w:rPr>
          <w:rFonts w:ascii="仿宋_GB2312" w:eastAsia="仿宋_GB2312" w:hAnsi="仿宋" w:cs="仿宋_GB2312" w:hint="eastAsia"/>
          <w:sz w:val="32"/>
          <w:szCs w:val="32"/>
        </w:rPr>
        <w:t>终止招标的，未及时发布公告；</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jc w:val="both"/>
        <w:rPr>
          <w:rFonts w:ascii="仿宋_GB2312" w:eastAsia="仿宋_GB2312" w:hAnsi="仿宋" w:cs="Times New Roman"/>
          <w:sz w:val="32"/>
          <w:szCs w:val="32"/>
        </w:rPr>
      </w:pPr>
      <w:r w:rsidRPr="00794F13">
        <w:rPr>
          <w:rFonts w:ascii="仿宋_GB2312" w:eastAsia="仿宋_GB2312" w:hAnsi="仿宋" w:cs="仿宋_GB2312"/>
          <w:sz w:val="32"/>
          <w:szCs w:val="32"/>
        </w:rPr>
        <w:t>8.</w:t>
      </w:r>
      <w:r w:rsidRPr="00794F13">
        <w:rPr>
          <w:rFonts w:ascii="仿宋_GB2312" w:eastAsia="仿宋_GB2312" w:hAnsi="仿宋" w:cs="仿宋_GB2312" w:hint="eastAsia"/>
          <w:sz w:val="32"/>
          <w:szCs w:val="32"/>
        </w:rPr>
        <w:t>招标人直接指定分包人；</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仿宋_GB2312" w:eastAsia="仿宋_GB2312" w:hAnsi="仿宋" w:cs="仿宋_GB2312"/>
          <w:sz w:val="32"/>
          <w:szCs w:val="32"/>
        </w:rPr>
        <w:t>9.</w:t>
      </w:r>
      <w:r w:rsidRPr="00794F13">
        <w:rPr>
          <w:rFonts w:ascii="仿宋_GB2312" w:eastAsia="仿宋_GB2312" w:hAnsi="仿宋" w:cs="仿宋_GB2312" w:hint="eastAsia"/>
          <w:sz w:val="32"/>
          <w:szCs w:val="32"/>
        </w:rPr>
        <w:t>招标人明示或者暗示投标人压低或者抬高投标报价；</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jc w:val="both"/>
        <w:rPr>
          <w:rFonts w:ascii="仿宋_GB2312" w:eastAsia="仿宋_GB2312" w:hAnsi="仿宋" w:cs="Times New Roman"/>
          <w:sz w:val="32"/>
          <w:szCs w:val="32"/>
        </w:rPr>
      </w:pPr>
      <w:r w:rsidRPr="00794F13">
        <w:rPr>
          <w:rFonts w:ascii="仿宋_GB2312" w:eastAsia="仿宋_GB2312" w:hAnsi="仿宋" w:cs="仿宋_GB2312"/>
          <w:sz w:val="32"/>
          <w:szCs w:val="32"/>
        </w:rPr>
        <w:t>10.</w:t>
      </w:r>
      <w:r w:rsidRPr="00794F13">
        <w:rPr>
          <w:rFonts w:ascii="仿宋_GB2312" w:eastAsia="仿宋_GB2312" w:hAnsi="仿宋" w:cs="仿宋_GB2312" w:hint="eastAsia"/>
          <w:sz w:val="32"/>
          <w:szCs w:val="32"/>
        </w:rPr>
        <w:t>招标人授意投标人撤换、修改投标文件；</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仿宋_GB2312" w:eastAsia="仿宋_GB2312" w:hAnsi="仿宋" w:cs="仿宋_GB2312"/>
          <w:sz w:val="32"/>
          <w:szCs w:val="32"/>
        </w:rPr>
        <w:t>11.</w:t>
      </w:r>
      <w:r w:rsidRPr="00794F13">
        <w:rPr>
          <w:rFonts w:ascii="仿宋_GB2312" w:eastAsia="仿宋_GB2312" w:hAnsi="仿宋" w:cs="仿宋_GB2312" w:hint="eastAsia"/>
          <w:sz w:val="32"/>
          <w:szCs w:val="32"/>
        </w:rPr>
        <w:t>招标人无正当理由未按规定进行工程结算或拖欠工程款的。</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jc w:val="center"/>
        <w:rPr>
          <w:rFonts w:ascii="仿宋_GB2312" w:eastAsia="仿宋_GB2312" w:hAnsi="黑体" w:cs="Times New Roman"/>
          <w:b/>
          <w:bCs/>
          <w:sz w:val="32"/>
          <w:szCs w:val="32"/>
        </w:rPr>
      </w:pPr>
      <w:r w:rsidRPr="00794F13">
        <w:rPr>
          <w:rFonts w:ascii="仿宋_GB2312" w:eastAsia="仿宋_GB2312" w:hAnsi="黑体" w:cs="仿宋_GB2312" w:hint="eastAsia"/>
          <w:b/>
          <w:bCs/>
          <w:sz w:val="32"/>
          <w:szCs w:val="32"/>
        </w:rPr>
        <w:t>第三章</w:t>
      </w:r>
      <w:r w:rsidRPr="00794F13">
        <w:rPr>
          <w:rFonts w:ascii="仿宋_GB2312" w:eastAsia="仿宋_GB2312" w:hAnsi="黑体" w:cs="仿宋_GB2312"/>
          <w:b/>
          <w:bCs/>
          <w:sz w:val="32"/>
          <w:szCs w:val="32"/>
        </w:rPr>
        <w:t xml:space="preserve">  </w:t>
      </w:r>
      <w:r w:rsidRPr="00794F13">
        <w:rPr>
          <w:rFonts w:ascii="仿宋_GB2312" w:eastAsia="仿宋_GB2312" w:hAnsi="黑体" w:cs="仿宋_GB2312" w:hint="eastAsia"/>
          <w:b/>
          <w:bCs/>
          <w:sz w:val="32"/>
          <w:szCs w:val="32"/>
        </w:rPr>
        <w:t>失信行为认定与记录</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第七条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招标人失信行为由当地公共资源交易综合管理部门或各建设行政主管部门负责认定。</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第八条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招标人失信情形的来源包括投标人投诉，相关监管部门对招标人的考核评价和对工程建设招投标活动的监督检查，以及其他部门单位的报送材料。</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第九条</w:t>
      </w:r>
      <w:r>
        <w:rPr>
          <w:rFonts w:ascii="黑体" w:eastAsia="黑体" w:hAnsi="黑体" w:cs="黑体"/>
          <w:sz w:val="32"/>
          <w:szCs w:val="32"/>
        </w:rPr>
        <w:t xml:space="preserve">  </w:t>
      </w:r>
      <w:r w:rsidRPr="00794F13">
        <w:rPr>
          <w:rFonts w:ascii="仿宋_GB2312" w:eastAsia="仿宋_GB2312" w:hAnsi="仿宋" w:cs="仿宋_GB2312" w:hint="eastAsia"/>
          <w:sz w:val="32"/>
          <w:szCs w:val="32"/>
        </w:rPr>
        <w:t>各级公共资源交易综合管理部门应在招标人失信行为认定后予以记录。</w:t>
      </w:r>
    </w:p>
    <w:p w:rsidR="00154E0E" w:rsidRPr="00794F13" w:rsidRDefault="00154E0E" w:rsidP="00794F13">
      <w:pPr>
        <w:pStyle w:val="NormalWeb"/>
        <w:shd w:val="clear" w:color="auto" w:fill="FFFFFF"/>
        <w:adjustRightInd w:val="0"/>
        <w:snapToGrid w:val="0"/>
        <w:spacing w:beforeLines="50" w:beforeAutospacing="0" w:afterLines="50" w:afterAutospacing="0" w:line="600" w:lineRule="exact"/>
        <w:jc w:val="center"/>
        <w:rPr>
          <w:rFonts w:ascii="黑体" w:eastAsia="黑体" w:hAnsi="黑体" w:cs="Times New Roman"/>
          <w:sz w:val="32"/>
          <w:szCs w:val="32"/>
        </w:rPr>
      </w:pPr>
      <w:r w:rsidRPr="00794F13">
        <w:rPr>
          <w:rFonts w:ascii="黑体" w:eastAsia="黑体" w:hAnsi="黑体" w:cs="黑体" w:hint="eastAsia"/>
          <w:sz w:val="32"/>
          <w:szCs w:val="32"/>
        </w:rPr>
        <w:t>第四章</w:t>
      </w:r>
      <w:r w:rsidRPr="00794F13">
        <w:rPr>
          <w:rFonts w:ascii="黑体" w:eastAsia="黑体" w:hAnsi="黑体" w:cs="黑体"/>
          <w:sz w:val="32"/>
          <w:szCs w:val="32"/>
        </w:rPr>
        <w:t xml:space="preserve">  </w:t>
      </w:r>
      <w:r w:rsidRPr="00794F13">
        <w:rPr>
          <w:rFonts w:ascii="黑体" w:eastAsia="黑体" w:hAnsi="黑体" w:cs="黑体" w:hint="eastAsia"/>
          <w:sz w:val="32"/>
          <w:szCs w:val="32"/>
        </w:rPr>
        <w:t>信用记录运用</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第十条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招标人有失信行为的，由各级公共资源交易综合管理部门汇总并将失信记录推送至湖北省公共资源交易信用信息平台，在当地公共资源交易综合监管部门官方网站予以公示。</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第十一条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失信行为记录公示期限自综合监管部门或各建设行政主管部门作出认定之日起三个月（除有信用修复的情况外）。</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第十二条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对招标人及其工作人员存在失信行为，涉嫌违纪的，由各级纪检监察机关按照党员、干部管理权限和处理程序，依法实施追究违纪者的责任；需对违纪者进行组织处理的，由组织部门做出处理；涉嫌犯罪的，依法移送司法机关处理。</w:t>
      </w:r>
    </w:p>
    <w:p w:rsidR="00154E0E" w:rsidRPr="00794F13" w:rsidRDefault="00154E0E" w:rsidP="00794F13">
      <w:pPr>
        <w:pStyle w:val="NormalWeb"/>
        <w:shd w:val="clear" w:color="auto" w:fill="FFFFFF"/>
        <w:adjustRightInd w:val="0"/>
        <w:snapToGrid w:val="0"/>
        <w:spacing w:beforeLines="50" w:beforeAutospacing="0" w:afterLines="50" w:afterAutospacing="0" w:line="600" w:lineRule="exact"/>
        <w:jc w:val="center"/>
        <w:rPr>
          <w:rFonts w:ascii="黑体" w:eastAsia="黑体" w:hAnsi="黑体" w:cs="Times New Roman"/>
          <w:sz w:val="32"/>
          <w:szCs w:val="32"/>
        </w:rPr>
      </w:pPr>
      <w:r w:rsidRPr="00794F13">
        <w:rPr>
          <w:rFonts w:ascii="黑体" w:eastAsia="黑体" w:hAnsi="黑体" w:cs="黑体" w:hint="eastAsia"/>
          <w:sz w:val="32"/>
          <w:szCs w:val="32"/>
        </w:rPr>
        <w:t>第五章</w:t>
      </w:r>
      <w:r w:rsidRPr="00794F13">
        <w:rPr>
          <w:rFonts w:ascii="黑体" w:eastAsia="黑体" w:hAnsi="黑体" w:cs="黑体"/>
          <w:sz w:val="32"/>
          <w:szCs w:val="32"/>
        </w:rPr>
        <w:t xml:space="preserve">  </w:t>
      </w:r>
      <w:r w:rsidRPr="00794F13">
        <w:rPr>
          <w:rFonts w:ascii="黑体" w:eastAsia="黑体" w:hAnsi="黑体" w:cs="黑体" w:hint="eastAsia"/>
          <w:sz w:val="32"/>
          <w:szCs w:val="32"/>
        </w:rPr>
        <w:t>救济措施和信用修复</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第十三条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招标人对失信行为有异议的，提交复核申请及相关证明材料，由当地综合监管部门或各建设行政主管部门复核，并在十个工作日内给予回复。</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第十四条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失信行为在记录公示期内，招标人公开作出信用修复承诺，并向当地综合监管部门或各建设行政主管部门报送整改材料、提请修复信用的，经综合监管部门或各建设行政主管部门核实，可以从网站撤下公示信息。拟修复信用的，失信行为的记录公示期不得少于一个月，且修复前该招标人在记录公示期内不得有其他失信行为。</w:t>
      </w:r>
    </w:p>
    <w:p w:rsidR="00154E0E" w:rsidRPr="00794F13" w:rsidRDefault="00154E0E" w:rsidP="00794F13">
      <w:pPr>
        <w:pStyle w:val="NormalWeb"/>
        <w:shd w:val="clear" w:color="auto" w:fill="FFFFFF"/>
        <w:adjustRightInd w:val="0"/>
        <w:snapToGrid w:val="0"/>
        <w:spacing w:beforeLines="50" w:beforeAutospacing="0" w:afterLines="50" w:afterAutospacing="0" w:line="600" w:lineRule="exact"/>
        <w:jc w:val="center"/>
        <w:rPr>
          <w:rFonts w:ascii="黑体" w:eastAsia="黑体" w:hAnsi="黑体" w:cs="Times New Roman"/>
          <w:sz w:val="32"/>
          <w:szCs w:val="32"/>
        </w:rPr>
      </w:pPr>
      <w:r w:rsidRPr="00794F13">
        <w:rPr>
          <w:rFonts w:ascii="黑体" w:eastAsia="黑体" w:hAnsi="黑体" w:cs="黑体" w:hint="eastAsia"/>
          <w:sz w:val="32"/>
          <w:szCs w:val="32"/>
        </w:rPr>
        <w:t>第六章</w:t>
      </w:r>
      <w:r w:rsidRPr="00794F13">
        <w:rPr>
          <w:rFonts w:ascii="黑体" w:eastAsia="黑体" w:hAnsi="黑体" w:cs="黑体"/>
          <w:sz w:val="32"/>
          <w:szCs w:val="32"/>
        </w:rPr>
        <w:t xml:space="preserve">  </w:t>
      </w:r>
      <w:r w:rsidRPr="00794F13">
        <w:rPr>
          <w:rFonts w:ascii="黑体" w:eastAsia="黑体" w:hAnsi="黑体" w:cs="黑体" w:hint="eastAsia"/>
          <w:sz w:val="32"/>
          <w:szCs w:val="32"/>
        </w:rPr>
        <w:t>监督检查</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Times New Roman"/>
          <w:sz w:val="32"/>
          <w:szCs w:val="32"/>
        </w:rPr>
      </w:pPr>
      <w:r w:rsidRPr="00794F13">
        <w:rPr>
          <w:rFonts w:ascii="黑体" w:eastAsia="黑体" w:hAnsi="黑体" w:cs="黑体" w:hint="eastAsia"/>
          <w:sz w:val="32"/>
          <w:szCs w:val="32"/>
        </w:rPr>
        <w:t>第十五条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招标人应当依法接受监管部门对工程建设项目招投标活动的监督检查，如实反映招标及履约情况，提供有关材料。</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rPr>
          <w:rFonts w:ascii="仿宋_GB2312" w:eastAsia="仿宋_GB2312" w:hAnsi="仿宋" w:cs="仿宋_GB2312"/>
          <w:sz w:val="32"/>
          <w:szCs w:val="32"/>
        </w:rPr>
      </w:pPr>
      <w:r w:rsidRPr="00794F13">
        <w:rPr>
          <w:rFonts w:ascii="黑体" w:eastAsia="黑体" w:hAnsi="黑体" w:cs="黑体" w:hint="eastAsia"/>
          <w:sz w:val="32"/>
          <w:szCs w:val="32"/>
        </w:rPr>
        <w:t>第十六条</w:t>
      </w:r>
      <w:r w:rsidRPr="00794F13">
        <w:rPr>
          <w:rFonts w:ascii="仿宋_GB2312" w:eastAsia="仿宋_GB2312" w:hAnsi="仿宋" w:cs="仿宋_GB2312"/>
          <w:sz w:val="32"/>
          <w:szCs w:val="32"/>
        </w:rPr>
        <w:t xml:space="preserve">  </w:t>
      </w:r>
      <w:r w:rsidRPr="00794F13">
        <w:rPr>
          <w:rFonts w:ascii="仿宋_GB2312" w:eastAsia="仿宋_GB2312" w:hAnsi="仿宋" w:cs="仿宋_GB2312" w:hint="eastAsia"/>
          <w:sz w:val="32"/>
          <w:szCs w:val="32"/>
        </w:rPr>
        <w:t>审计机关、监察机关应加大对存在失信行为的招标人日常监督。</w:t>
      </w:r>
      <w:r w:rsidRPr="00794F13">
        <w:rPr>
          <w:rFonts w:ascii="仿宋_GB2312" w:eastAsia="仿宋_GB2312" w:hAnsi="仿宋" w:cs="仿宋_GB2312"/>
          <w:sz w:val="32"/>
          <w:szCs w:val="32"/>
        </w:rPr>
        <w:t xml:space="preserve"> </w:t>
      </w:r>
    </w:p>
    <w:p w:rsidR="00154E0E" w:rsidRPr="00794F13" w:rsidRDefault="00154E0E" w:rsidP="00794F13">
      <w:pPr>
        <w:pStyle w:val="NormalWeb"/>
        <w:shd w:val="clear" w:color="auto" w:fill="FFFFFF"/>
        <w:adjustRightInd w:val="0"/>
        <w:snapToGrid w:val="0"/>
        <w:spacing w:beforeLines="50" w:beforeAutospacing="0" w:afterLines="50" w:afterAutospacing="0" w:line="600" w:lineRule="exact"/>
        <w:jc w:val="center"/>
        <w:rPr>
          <w:rFonts w:ascii="黑体" w:eastAsia="黑体" w:hAnsi="黑体" w:cs="Times New Roman"/>
          <w:sz w:val="32"/>
          <w:szCs w:val="32"/>
        </w:rPr>
      </w:pPr>
      <w:r w:rsidRPr="00794F13">
        <w:rPr>
          <w:rFonts w:ascii="黑体" w:eastAsia="黑体" w:hAnsi="黑体" w:cs="黑体" w:hint="eastAsia"/>
          <w:sz w:val="32"/>
          <w:szCs w:val="32"/>
        </w:rPr>
        <w:t>第七章</w:t>
      </w:r>
      <w:r w:rsidRPr="00794F13">
        <w:rPr>
          <w:rFonts w:ascii="黑体" w:eastAsia="黑体" w:hAnsi="黑体" w:cs="黑体"/>
          <w:sz w:val="32"/>
          <w:szCs w:val="32"/>
        </w:rPr>
        <w:t xml:space="preserve">  </w:t>
      </w:r>
      <w:r w:rsidRPr="00794F13">
        <w:rPr>
          <w:rFonts w:ascii="黑体" w:eastAsia="黑体" w:hAnsi="黑体" w:cs="黑体" w:hint="eastAsia"/>
          <w:sz w:val="32"/>
          <w:szCs w:val="32"/>
        </w:rPr>
        <w:t>附　则</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jc w:val="both"/>
        <w:rPr>
          <w:rFonts w:ascii="仿宋_GB2312" w:eastAsia="仿宋_GB2312" w:hAnsi="仿宋" w:cs="Times New Roman"/>
          <w:sz w:val="32"/>
          <w:szCs w:val="32"/>
        </w:rPr>
      </w:pPr>
      <w:r w:rsidRPr="00794F13">
        <w:rPr>
          <w:rFonts w:ascii="黑体" w:eastAsia="黑体" w:hAnsi="黑体" w:cs="黑体" w:hint="eastAsia"/>
          <w:sz w:val="32"/>
          <w:szCs w:val="32"/>
        </w:rPr>
        <w:t>第十七条</w:t>
      </w:r>
      <w:r w:rsidRPr="00794F13">
        <w:rPr>
          <w:rFonts w:ascii="仿宋_GB2312" w:eastAsia="仿宋_GB2312" w:hAnsi="仿宋" w:cs="仿宋_GB2312"/>
          <w:b/>
          <w:bCs/>
          <w:sz w:val="32"/>
          <w:szCs w:val="32"/>
        </w:rPr>
        <w:t xml:space="preserve">  </w:t>
      </w:r>
      <w:r w:rsidRPr="00794F13">
        <w:rPr>
          <w:rFonts w:ascii="仿宋_GB2312" w:eastAsia="仿宋_GB2312" w:hAnsi="仿宋" w:cs="仿宋_GB2312" w:hint="eastAsia"/>
          <w:sz w:val="32"/>
          <w:szCs w:val="32"/>
        </w:rPr>
        <w:t>本规定由市公共资源交易监督管理局负责解释，各县市区参照执行，负责本地区招标人信用管理评价工作。如遇国家有关规定调整，本办法规定与国家有关规定不符的，按照国家规定执行。</w:t>
      </w:r>
    </w:p>
    <w:p w:rsidR="00154E0E" w:rsidRPr="00794F13" w:rsidRDefault="00154E0E" w:rsidP="00794F13">
      <w:pPr>
        <w:pStyle w:val="NormalWeb"/>
        <w:shd w:val="clear" w:color="auto" w:fill="FFFFFF"/>
        <w:adjustRightInd w:val="0"/>
        <w:snapToGrid w:val="0"/>
        <w:spacing w:beforeAutospacing="0" w:afterAutospacing="0" w:line="600" w:lineRule="exact"/>
        <w:ind w:firstLineChars="200" w:firstLine="31680"/>
        <w:jc w:val="both"/>
        <w:rPr>
          <w:rFonts w:ascii="仿宋_GB2312" w:eastAsia="仿宋_GB2312" w:hAnsi="仿宋" w:cs="Times New Roman"/>
          <w:sz w:val="32"/>
          <w:szCs w:val="32"/>
        </w:rPr>
      </w:pPr>
      <w:bookmarkStart w:id="0" w:name="OLE_LINK3"/>
      <w:bookmarkEnd w:id="0"/>
      <w:r w:rsidRPr="00794F13">
        <w:rPr>
          <w:rFonts w:ascii="黑体" w:eastAsia="黑体" w:hAnsi="黑体" w:cs="黑体" w:hint="eastAsia"/>
          <w:sz w:val="32"/>
          <w:szCs w:val="32"/>
        </w:rPr>
        <w:t>第十八条</w:t>
      </w:r>
      <w:r w:rsidRPr="00794F13">
        <w:rPr>
          <w:rFonts w:ascii="仿宋_GB2312" w:eastAsia="仿宋_GB2312" w:hAnsi="黑体" w:cs="仿宋_GB2312"/>
          <w:b/>
          <w:bCs/>
          <w:sz w:val="32"/>
          <w:szCs w:val="32"/>
        </w:rPr>
        <w:t xml:space="preserve">  </w:t>
      </w:r>
      <w:r w:rsidRPr="00794F13">
        <w:rPr>
          <w:rFonts w:ascii="仿宋_GB2312" w:eastAsia="仿宋_GB2312" w:hAnsi="仿宋" w:cs="仿宋_GB2312" w:hint="eastAsia"/>
          <w:sz w:val="32"/>
          <w:szCs w:val="32"/>
        </w:rPr>
        <w:t>本办法自发布之日起施行，有效期两年。</w:t>
      </w:r>
    </w:p>
    <w:p w:rsidR="00154E0E" w:rsidRDefault="00154E0E">
      <w:pPr>
        <w:pStyle w:val="BodyTextFirstIndent2"/>
        <w:ind w:firstLineChars="0" w:firstLine="0"/>
        <w:rPr>
          <w:rFonts w:ascii="Calibri" w:eastAsia="宋体" w:hAnsi="Calibri" w:cs="Times New Roman"/>
          <w:b w:val="0"/>
          <w:bCs w:val="0"/>
        </w:rPr>
      </w:pPr>
      <w:r>
        <w:rPr>
          <w:rFonts w:ascii="Calibri" w:eastAsia="宋体" w:hAnsi="Calibri" w:cs="Times New Roman"/>
          <w:b w:val="0"/>
          <w:bCs w:val="0"/>
        </w:rPr>
        <w:br w:type="page"/>
      </w:r>
    </w:p>
    <w:p w:rsidR="00154E0E" w:rsidRDefault="00154E0E">
      <w:pPr>
        <w:pStyle w:val="BodyTextFirstIndent2"/>
        <w:ind w:firstLineChars="0" w:firstLine="0"/>
        <w:rPr>
          <w:rFonts w:ascii="Calibri" w:eastAsia="宋体" w:hAnsi="Calibri" w:cs="Times New Roman"/>
          <w:b w:val="0"/>
          <w:bCs w:val="0"/>
        </w:rPr>
      </w:pPr>
    </w:p>
    <w:p w:rsidR="00154E0E" w:rsidRDefault="00154E0E">
      <w:pPr>
        <w:pStyle w:val="BodyTextFirstIndent2"/>
        <w:ind w:firstLineChars="0" w:firstLine="0"/>
        <w:rPr>
          <w:rFonts w:ascii="Calibri" w:eastAsia="宋体" w:hAnsi="Calibri" w:cs="Times New Roman"/>
          <w:b w:val="0"/>
          <w:bCs w:val="0"/>
        </w:rPr>
      </w:pPr>
    </w:p>
    <w:p w:rsidR="00154E0E" w:rsidRDefault="00154E0E">
      <w:pPr>
        <w:pStyle w:val="BodyTextFirstIndent2"/>
        <w:ind w:firstLineChars="0" w:firstLine="0"/>
        <w:rPr>
          <w:rFonts w:ascii="Calibri" w:eastAsia="宋体" w:hAnsi="Calibri" w:cs="Times New Roman"/>
          <w:b w:val="0"/>
          <w:bCs w:val="0"/>
        </w:rPr>
      </w:pPr>
    </w:p>
    <w:p w:rsidR="00154E0E" w:rsidRDefault="00154E0E">
      <w:pPr>
        <w:pStyle w:val="BodyTextFirstIndent2"/>
        <w:ind w:firstLineChars="0" w:firstLine="0"/>
        <w:rPr>
          <w:rFonts w:ascii="Calibri" w:eastAsia="宋体" w:hAnsi="Calibri" w:cs="Times New Roman"/>
          <w:b w:val="0"/>
          <w:bCs w:val="0"/>
        </w:rPr>
      </w:pPr>
    </w:p>
    <w:p w:rsidR="00154E0E" w:rsidRDefault="00154E0E">
      <w:pPr>
        <w:pStyle w:val="BodyTextFirstIndent2"/>
        <w:ind w:firstLineChars="0" w:firstLine="0"/>
        <w:rPr>
          <w:rFonts w:ascii="Calibri" w:eastAsia="宋体" w:hAnsi="Calibri" w:cs="Times New Roman"/>
          <w:b w:val="0"/>
          <w:bCs w:val="0"/>
        </w:rPr>
      </w:pPr>
    </w:p>
    <w:p w:rsidR="00154E0E" w:rsidRDefault="00154E0E">
      <w:pPr>
        <w:pStyle w:val="BodyTextFirstIndent2"/>
        <w:ind w:firstLineChars="0" w:firstLine="0"/>
        <w:rPr>
          <w:rFonts w:ascii="Calibri" w:eastAsia="宋体" w:hAnsi="Calibri" w:cs="Times New Roman"/>
          <w:b w:val="0"/>
          <w:bCs w:val="0"/>
        </w:rPr>
      </w:pPr>
    </w:p>
    <w:p w:rsidR="00154E0E" w:rsidRDefault="00154E0E">
      <w:pPr>
        <w:pStyle w:val="BodyTextFirstIndent2"/>
        <w:ind w:firstLineChars="0" w:firstLine="0"/>
        <w:rPr>
          <w:rFonts w:ascii="Calibri" w:eastAsia="宋体" w:hAnsi="Calibri" w:cs="Times New Roman"/>
          <w:b w:val="0"/>
          <w:bCs w:val="0"/>
        </w:rPr>
      </w:pPr>
    </w:p>
    <w:p w:rsidR="00154E0E" w:rsidRDefault="00154E0E">
      <w:pPr>
        <w:pStyle w:val="BodyTextFirstIndent2"/>
        <w:ind w:firstLineChars="0" w:firstLine="0"/>
        <w:rPr>
          <w:rFonts w:ascii="Calibri" w:eastAsia="宋体" w:hAnsi="Calibri" w:cs="Times New Roman"/>
          <w:b w:val="0"/>
          <w:bCs w:val="0"/>
        </w:rPr>
      </w:pPr>
    </w:p>
    <w:p w:rsidR="00154E0E" w:rsidRDefault="00154E0E">
      <w:pPr>
        <w:pStyle w:val="BodyTextFirstIndent2"/>
        <w:ind w:firstLineChars="0" w:firstLine="0"/>
        <w:rPr>
          <w:rFonts w:ascii="Calibri" w:eastAsia="宋体" w:hAnsi="Calibri" w:cs="Times New Roman"/>
          <w:b w:val="0"/>
          <w:bCs w:val="0"/>
        </w:rPr>
      </w:pPr>
    </w:p>
    <w:p w:rsidR="00154E0E" w:rsidRDefault="00154E0E">
      <w:pPr>
        <w:pStyle w:val="BodyTextFirstIndent2"/>
        <w:ind w:firstLineChars="0" w:firstLine="0"/>
        <w:rPr>
          <w:rFonts w:ascii="Calibri" w:eastAsia="宋体" w:hAnsi="Calibri" w:cs="Times New Roman"/>
          <w:b w:val="0"/>
          <w:bCs w:val="0"/>
        </w:rPr>
      </w:pPr>
    </w:p>
    <w:p w:rsidR="00154E0E" w:rsidRDefault="00154E0E">
      <w:pPr>
        <w:pStyle w:val="BodyTextFirstIndent2"/>
        <w:ind w:firstLineChars="0" w:firstLine="0"/>
        <w:rPr>
          <w:rFonts w:ascii="Calibri" w:eastAsia="宋体" w:hAnsi="Calibri" w:cs="Times New Roman"/>
          <w:b w:val="0"/>
          <w:bCs w:val="0"/>
        </w:rPr>
      </w:pPr>
    </w:p>
    <w:p w:rsidR="00154E0E" w:rsidRDefault="00154E0E">
      <w:pPr>
        <w:pStyle w:val="BodyTextFirstIndent2"/>
        <w:ind w:firstLineChars="0" w:firstLine="0"/>
        <w:rPr>
          <w:rFonts w:cs="Times New Roman"/>
        </w:rPr>
      </w:pPr>
    </w:p>
    <w:p w:rsidR="00154E0E" w:rsidRDefault="00154E0E">
      <w:pPr>
        <w:pStyle w:val="BodyTextFirstIndent2"/>
        <w:ind w:firstLineChars="0" w:firstLine="0"/>
        <w:rPr>
          <w:rFonts w:cs="Times New Roman"/>
        </w:rPr>
      </w:pPr>
    </w:p>
    <w:p w:rsidR="00154E0E" w:rsidRDefault="00154E0E">
      <w:pPr>
        <w:pStyle w:val="BodyTextFirstIndent2"/>
        <w:ind w:firstLineChars="0" w:firstLine="0"/>
        <w:rPr>
          <w:rFonts w:cs="Times New Roman"/>
        </w:rPr>
      </w:pPr>
    </w:p>
    <w:p w:rsidR="00154E0E" w:rsidRDefault="00154E0E">
      <w:pPr>
        <w:pStyle w:val="BodyTextFirstIndent2"/>
        <w:ind w:firstLineChars="0" w:firstLine="0"/>
        <w:rPr>
          <w:rFonts w:cs="Times New Roman"/>
        </w:rPr>
      </w:pPr>
    </w:p>
    <w:p w:rsidR="00154E0E" w:rsidRDefault="00154E0E">
      <w:pPr>
        <w:pStyle w:val="BodyTextFirstIndent2"/>
        <w:ind w:firstLineChars="0" w:firstLine="0"/>
        <w:rPr>
          <w:rFonts w:cs="Times New Roman"/>
        </w:rPr>
      </w:pPr>
    </w:p>
    <w:p w:rsidR="00154E0E" w:rsidRDefault="00154E0E">
      <w:pPr>
        <w:pStyle w:val="BodyTextFirstIndent2"/>
        <w:ind w:firstLineChars="0" w:firstLine="0"/>
        <w:rPr>
          <w:rFonts w:cs="Times New Roman"/>
        </w:rPr>
      </w:pPr>
    </w:p>
    <w:p w:rsidR="00154E0E" w:rsidRDefault="00154E0E">
      <w:pPr>
        <w:pStyle w:val="BodyTextFirstIndent2"/>
        <w:ind w:firstLineChars="0" w:firstLine="0"/>
        <w:rPr>
          <w:rFonts w:cs="Times New Roman"/>
        </w:rPr>
      </w:pPr>
    </w:p>
    <w:p w:rsidR="00154E0E" w:rsidRDefault="00154E0E">
      <w:pPr>
        <w:pStyle w:val="BodyTextFirstIndent2"/>
        <w:ind w:firstLineChars="0" w:firstLine="0"/>
        <w:rPr>
          <w:rFonts w:cs="Times New Roman"/>
        </w:rPr>
      </w:pPr>
    </w:p>
    <w:p w:rsidR="00154E0E" w:rsidRDefault="00154E0E">
      <w:pPr>
        <w:pStyle w:val="BodyTextFirstIndent2"/>
        <w:ind w:firstLineChars="0" w:firstLine="0"/>
        <w:rPr>
          <w:rFonts w:cs="Times New Roman"/>
        </w:rPr>
      </w:pPr>
      <w:bookmarkStart w:id="1" w:name="_GoBack"/>
      <w:bookmarkEnd w:id="1"/>
    </w:p>
    <w:p w:rsidR="00154E0E" w:rsidRDefault="00154E0E" w:rsidP="00794F13">
      <w:pPr>
        <w:pStyle w:val="BodyTextFirstIndent2"/>
        <w:spacing w:line="500" w:lineRule="exact"/>
        <w:ind w:left="31680" w:hangingChars="266" w:firstLine="31680"/>
        <w:rPr>
          <w:rFonts w:ascii="仿宋_GB2312" w:cs="Times New Roman"/>
          <w:b w:val="0"/>
          <w:bCs w:val="0"/>
          <w:color w:val="000000"/>
          <w:sz w:val="28"/>
          <w:szCs w:val="28"/>
        </w:rPr>
      </w:pPr>
      <w:r>
        <w:rPr>
          <w:noProof/>
        </w:rPr>
        <w:pict>
          <v:line id="_x0000_s1026" style="position:absolute;left:0;text-align:left;z-index:251656704" from="0,2.95pt" to="442.2pt,2.95pt"/>
        </w:pict>
      </w:r>
      <w:r>
        <w:rPr>
          <w:rFonts w:ascii="仿宋_GB2312" w:hAnsi="仿宋_GB2312" w:cs="仿宋_GB2312"/>
          <w:b w:val="0"/>
          <w:bCs w:val="0"/>
          <w:color w:val="000000"/>
          <w:sz w:val="28"/>
          <w:szCs w:val="28"/>
        </w:rPr>
        <w:t xml:space="preserve"> </w:t>
      </w:r>
      <w:r>
        <w:rPr>
          <w:rFonts w:ascii="仿宋_GB2312" w:hAnsi="仿宋_GB2312" w:cs="仿宋_GB2312" w:hint="eastAsia"/>
          <w:b w:val="0"/>
          <w:bCs w:val="0"/>
          <w:color w:val="000000"/>
          <w:sz w:val="28"/>
          <w:szCs w:val="28"/>
        </w:rPr>
        <w:t>抄送</w:t>
      </w:r>
      <w:r>
        <w:rPr>
          <w:rFonts w:ascii="仿宋_GB2312" w:hAnsi="仿宋_GB2312" w:cs="仿宋_GB2312"/>
          <w:b w:val="0"/>
          <w:bCs w:val="0"/>
          <w:color w:val="000000"/>
          <w:sz w:val="28"/>
          <w:szCs w:val="28"/>
        </w:rPr>
        <w:t>:</w:t>
      </w:r>
      <w:r>
        <w:rPr>
          <w:rFonts w:ascii="仿宋_GB2312" w:hAnsi="仿宋_GB2312" w:cs="仿宋_GB2312" w:hint="eastAsia"/>
          <w:b w:val="0"/>
          <w:bCs w:val="0"/>
          <w:color w:val="000000"/>
          <w:sz w:val="28"/>
          <w:szCs w:val="28"/>
        </w:rPr>
        <w:t>市纪委监委办公室、市检察院、市公共资源交易管理委员会成员单位、国投公司、高新投公司。</w:t>
      </w:r>
    </w:p>
    <w:p w:rsidR="00154E0E" w:rsidRDefault="00154E0E" w:rsidP="0083785D">
      <w:pPr>
        <w:widowControl/>
        <w:spacing w:beforeLines="50" w:line="500" w:lineRule="exact"/>
        <w:rPr>
          <w:rFonts w:cs="Times New Roman"/>
        </w:rPr>
      </w:pPr>
      <w:r>
        <w:rPr>
          <w:noProof/>
        </w:rPr>
        <w:pict>
          <v:line id="_x0000_s1027" style="position:absolute;left:0;text-align:left;z-index:251658752" from="0,38.35pt" to="442.2pt,38.35pt"/>
        </w:pict>
      </w:r>
      <w:r>
        <w:rPr>
          <w:noProof/>
        </w:rPr>
        <w:pict>
          <v:line id="_x0000_s1028" style="position:absolute;left:0;text-align:left;z-index:251657728" from="0,6.4pt" to="442.2pt,6.4pt"/>
        </w:pict>
      </w:r>
      <w:r>
        <w:rPr>
          <w:rFonts w:ascii="仿宋_GB2312" w:eastAsia="仿宋_GB2312" w:hAnsi="仿宋_GB2312" w:cs="仿宋_GB2312"/>
          <w:color w:val="000000"/>
          <w:sz w:val="28"/>
          <w:szCs w:val="28"/>
        </w:rPr>
        <w:t xml:space="preserve"> </w:t>
      </w:r>
      <w:r>
        <w:rPr>
          <w:rFonts w:ascii="仿宋_GB2312" w:eastAsia="仿宋_GB2312" w:hAnsi="仿宋_GB2312" w:cs="仿宋_GB2312" w:hint="eastAsia"/>
          <w:color w:val="000000"/>
          <w:sz w:val="28"/>
          <w:szCs w:val="28"/>
        </w:rPr>
        <w:t>随州市公共资源交易监督管理局</w:t>
      </w:r>
      <w:r>
        <w:rPr>
          <w:rFonts w:ascii="仿宋_GB2312" w:eastAsia="仿宋_GB2312" w:hAnsi="仿宋_GB2312" w:cs="仿宋_GB2312"/>
          <w:color w:val="000000"/>
          <w:sz w:val="28"/>
          <w:szCs w:val="28"/>
        </w:rPr>
        <w:t xml:space="preserve">             2023</w:t>
      </w:r>
      <w:r>
        <w:rPr>
          <w:rFonts w:ascii="仿宋_GB2312" w:eastAsia="仿宋_GB2312" w:hAnsi="仿宋_GB2312" w:cs="仿宋_GB2312" w:hint="eastAsia"/>
          <w:color w:val="000000"/>
          <w:sz w:val="28"/>
          <w:szCs w:val="28"/>
        </w:rPr>
        <w:t>年</w:t>
      </w:r>
      <w:r>
        <w:rPr>
          <w:rFonts w:ascii="仿宋_GB2312" w:eastAsia="仿宋_GB2312" w:hAnsi="仿宋_GB2312" w:cs="仿宋_GB2312"/>
          <w:color w:val="000000"/>
          <w:sz w:val="28"/>
          <w:szCs w:val="28"/>
        </w:rPr>
        <w:t>6</w:t>
      </w:r>
      <w:r>
        <w:rPr>
          <w:rFonts w:ascii="仿宋_GB2312" w:eastAsia="仿宋_GB2312" w:hAnsi="仿宋_GB2312" w:cs="仿宋_GB2312" w:hint="eastAsia"/>
          <w:color w:val="000000"/>
          <w:sz w:val="28"/>
          <w:szCs w:val="28"/>
        </w:rPr>
        <w:t>月</w:t>
      </w:r>
      <w:r>
        <w:rPr>
          <w:rFonts w:ascii="仿宋_GB2312" w:eastAsia="仿宋_GB2312" w:hAnsi="仿宋_GB2312" w:cs="仿宋_GB2312"/>
          <w:color w:val="000000"/>
          <w:sz w:val="28"/>
          <w:szCs w:val="28"/>
        </w:rPr>
        <w:t>28</w:t>
      </w:r>
      <w:r>
        <w:rPr>
          <w:rFonts w:ascii="仿宋_GB2312" w:eastAsia="仿宋_GB2312" w:hAnsi="仿宋_GB2312" w:cs="仿宋_GB2312" w:hint="eastAsia"/>
          <w:color w:val="000000"/>
          <w:sz w:val="28"/>
          <w:szCs w:val="28"/>
        </w:rPr>
        <w:t>日印发</w:t>
      </w:r>
    </w:p>
    <w:sectPr w:rsidR="00154E0E" w:rsidSect="00EB1884">
      <w:footerReference w:type="default" r:id="rId6"/>
      <w:pgSz w:w="11906" w:h="16838" w:code="9"/>
      <w:pgMar w:top="1474" w:right="1531" w:bottom="1758" w:left="1531" w:header="851" w:footer="1531"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4E0E" w:rsidRDefault="00154E0E" w:rsidP="00C01C11">
      <w:pPr>
        <w:rPr>
          <w:rFonts w:cs="Times New Roman"/>
        </w:rPr>
      </w:pPr>
      <w:r>
        <w:rPr>
          <w:rFonts w:cs="Times New Roman"/>
        </w:rPr>
        <w:separator/>
      </w:r>
    </w:p>
  </w:endnote>
  <w:endnote w:type="continuationSeparator" w:id="1">
    <w:p w:rsidR="00154E0E" w:rsidRDefault="00154E0E" w:rsidP="00C01C11">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微软雅黑"/>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panose1 w:val="03000509000000000000"/>
    <w:charset w:val="86"/>
    <w:family w:val="script"/>
    <w:pitch w:val="fixed"/>
    <w:sig w:usb0="00000001" w:usb1="080E0000" w:usb2="00000010" w:usb3="00000000" w:csb0="00040000" w:csb1="00000000"/>
  </w:font>
  <w:font w:name="新宋体">
    <w:panose1 w:val="02010609030101010101"/>
    <w:charset w:val="86"/>
    <w:family w:val="modern"/>
    <w:pitch w:val="fixed"/>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E0E" w:rsidRPr="00794F13" w:rsidRDefault="00154E0E" w:rsidP="004B1C47">
    <w:pPr>
      <w:pStyle w:val="Footer"/>
      <w:framePr w:wrap="auto" w:vAnchor="text" w:hAnchor="margin" w:xAlign="outside" w:y="1"/>
      <w:rPr>
        <w:rStyle w:val="PageNumber"/>
        <w:rFonts w:ascii="宋体" w:cs="宋体"/>
        <w:sz w:val="28"/>
        <w:szCs w:val="28"/>
      </w:rPr>
    </w:pPr>
    <w:r>
      <w:rPr>
        <w:rStyle w:val="PageNumber"/>
        <w:rFonts w:ascii="宋体" w:hAnsi="宋体" w:cs="宋体"/>
        <w:sz w:val="28"/>
        <w:szCs w:val="28"/>
      </w:rPr>
      <w:t xml:space="preserve">— </w:t>
    </w:r>
    <w:r w:rsidRPr="00794F13">
      <w:rPr>
        <w:rStyle w:val="PageNumber"/>
        <w:rFonts w:ascii="宋体" w:hAnsi="宋体" w:cs="宋体"/>
        <w:sz w:val="28"/>
        <w:szCs w:val="28"/>
      </w:rPr>
      <w:fldChar w:fldCharType="begin"/>
    </w:r>
    <w:r w:rsidRPr="00794F13">
      <w:rPr>
        <w:rStyle w:val="PageNumber"/>
        <w:rFonts w:ascii="宋体" w:hAnsi="宋体" w:cs="宋体"/>
        <w:sz w:val="28"/>
        <w:szCs w:val="28"/>
      </w:rPr>
      <w:instrText xml:space="preserve">PAGE  </w:instrText>
    </w:r>
    <w:r w:rsidRPr="00794F13">
      <w:rPr>
        <w:rStyle w:val="PageNumber"/>
        <w:rFonts w:ascii="宋体" w:hAnsi="宋体" w:cs="宋体"/>
        <w:sz w:val="28"/>
        <w:szCs w:val="28"/>
      </w:rPr>
      <w:fldChar w:fldCharType="separate"/>
    </w:r>
    <w:r>
      <w:rPr>
        <w:rStyle w:val="PageNumber"/>
        <w:rFonts w:ascii="宋体" w:hAnsi="宋体" w:cs="宋体"/>
        <w:noProof/>
        <w:sz w:val="28"/>
        <w:szCs w:val="28"/>
      </w:rPr>
      <w:t>6</w:t>
    </w:r>
    <w:r w:rsidRPr="00794F13">
      <w:rPr>
        <w:rStyle w:val="PageNumber"/>
        <w:rFonts w:ascii="宋体" w:hAnsi="宋体" w:cs="宋体"/>
        <w:sz w:val="28"/>
        <w:szCs w:val="28"/>
      </w:rPr>
      <w:fldChar w:fldCharType="end"/>
    </w:r>
    <w:r>
      <w:rPr>
        <w:rStyle w:val="PageNumber"/>
        <w:rFonts w:ascii="宋体" w:hAnsi="宋体" w:cs="宋体"/>
        <w:sz w:val="28"/>
        <w:szCs w:val="28"/>
      </w:rPr>
      <w:t xml:space="preserve"> —</w:t>
    </w:r>
  </w:p>
  <w:p w:rsidR="00154E0E" w:rsidRDefault="00154E0E" w:rsidP="00794F13">
    <w:pPr>
      <w:pStyle w:val="Footer"/>
      <w:ind w:right="360" w:firstLine="360"/>
      <w:rPr>
        <w:rFonts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4E0E" w:rsidRDefault="00154E0E" w:rsidP="00C01C11">
      <w:pPr>
        <w:rPr>
          <w:rFonts w:cs="Times New Roman"/>
        </w:rPr>
      </w:pPr>
      <w:r>
        <w:rPr>
          <w:rFonts w:cs="Times New Roman"/>
        </w:rPr>
        <w:separator/>
      </w:r>
    </w:p>
  </w:footnote>
  <w:footnote w:type="continuationSeparator" w:id="1">
    <w:p w:rsidR="00154E0E" w:rsidRDefault="00154E0E" w:rsidP="00C01C11">
      <w:pPr>
        <w:rPr>
          <w:rFonts w:cs="Times New Roman"/>
        </w:rPr>
      </w:pPr>
      <w:r>
        <w:rPr>
          <w:rFonts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ommondata" w:val="eyJoZGlkIjoiNWRmYjhjMGM5YmM1ZDQ3ZjZiY2MxOTE0NTQ3YjI2ZWMifQ=="/>
  </w:docVars>
  <w:rsids>
    <w:rsidRoot w:val="007A00E8"/>
    <w:rsid w:val="00063219"/>
    <w:rsid w:val="00154E0E"/>
    <w:rsid w:val="003E6B96"/>
    <w:rsid w:val="004B1C47"/>
    <w:rsid w:val="00794F13"/>
    <w:rsid w:val="007A00E8"/>
    <w:rsid w:val="0083785D"/>
    <w:rsid w:val="00911BFB"/>
    <w:rsid w:val="00967898"/>
    <w:rsid w:val="00C01C11"/>
    <w:rsid w:val="00EB1884"/>
    <w:rsid w:val="039D7B38"/>
    <w:rsid w:val="126545B1"/>
    <w:rsid w:val="14ED20B8"/>
    <w:rsid w:val="1ABE290A"/>
    <w:rsid w:val="258156EC"/>
    <w:rsid w:val="27EB15FB"/>
    <w:rsid w:val="436B1258"/>
    <w:rsid w:val="4FE90FDC"/>
    <w:rsid w:val="56403F6F"/>
    <w:rsid w:val="691D32BA"/>
    <w:rsid w:val="6DFA4688"/>
    <w:rsid w:val="718B55F7"/>
    <w:rsid w:val="7DA65963"/>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First Indent 2" w:locked="1" w:semiHidden="0" w:uiPriority="0" w:unhideWhenUsed="0"/>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Web)"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BodyTextFirstIndent2"/>
    <w:qFormat/>
    <w:rsid w:val="007A00E8"/>
    <w:pPr>
      <w:widowControl w:val="0"/>
      <w:jc w:val="both"/>
    </w:pPr>
    <w:rPr>
      <w:rFonts w:cs="Calibri"/>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7A00E8"/>
    <w:pPr>
      <w:spacing w:line="560" w:lineRule="exact"/>
      <w:ind w:firstLineChars="200" w:firstLine="960"/>
    </w:pPr>
    <w:rPr>
      <w:rFonts w:ascii="宋体" w:eastAsia="仿宋_GB2312" w:hAnsi="宋体" w:cs="宋体"/>
      <w:b/>
      <w:bCs/>
    </w:rPr>
  </w:style>
  <w:style w:type="character" w:customStyle="1" w:styleId="BodyTextIndentChar">
    <w:name w:val="Body Text Indent Char"/>
    <w:basedOn w:val="DefaultParagraphFont"/>
    <w:link w:val="BodyTextIndent"/>
    <w:uiPriority w:val="99"/>
    <w:semiHidden/>
    <w:rsid w:val="00133F9F"/>
    <w:rPr>
      <w:rFonts w:cs="Calibri"/>
      <w:sz w:val="32"/>
      <w:szCs w:val="32"/>
    </w:rPr>
  </w:style>
  <w:style w:type="paragraph" w:styleId="BodyTextFirstIndent2">
    <w:name w:val="Body Text First Indent 2"/>
    <w:basedOn w:val="BodyTextIndent"/>
    <w:link w:val="BodyTextFirstIndent2Char"/>
    <w:uiPriority w:val="99"/>
    <w:rsid w:val="007A00E8"/>
    <w:pPr>
      <w:ind w:firstLine="420"/>
    </w:pPr>
  </w:style>
  <w:style w:type="character" w:customStyle="1" w:styleId="BodyTextFirstIndent2Char">
    <w:name w:val="Body Text First Indent 2 Char"/>
    <w:basedOn w:val="BodyTextIndentChar"/>
    <w:link w:val="BodyTextFirstIndent2"/>
    <w:uiPriority w:val="99"/>
    <w:semiHidden/>
    <w:rsid w:val="00133F9F"/>
  </w:style>
  <w:style w:type="paragraph" w:styleId="Footer">
    <w:name w:val="footer"/>
    <w:basedOn w:val="Normal"/>
    <w:link w:val="FooterChar"/>
    <w:uiPriority w:val="99"/>
    <w:rsid w:val="007A00E8"/>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133F9F"/>
    <w:rPr>
      <w:rFonts w:cs="Calibri"/>
      <w:sz w:val="18"/>
      <w:szCs w:val="18"/>
    </w:rPr>
  </w:style>
  <w:style w:type="paragraph" w:styleId="NormalWeb">
    <w:name w:val="Normal (Web)"/>
    <w:basedOn w:val="Normal"/>
    <w:uiPriority w:val="99"/>
    <w:rsid w:val="007A00E8"/>
    <w:pPr>
      <w:spacing w:beforeAutospacing="1" w:afterAutospacing="1"/>
      <w:jc w:val="left"/>
    </w:pPr>
    <w:rPr>
      <w:kern w:val="0"/>
      <w:sz w:val="24"/>
      <w:szCs w:val="24"/>
    </w:rPr>
  </w:style>
  <w:style w:type="character" w:styleId="PageNumber">
    <w:name w:val="page number"/>
    <w:basedOn w:val="DefaultParagraphFont"/>
    <w:uiPriority w:val="99"/>
    <w:rsid w:val="007A00E8"/>
  </w:style>
  <w:style w:type="character" w:styleId="Hyperlink">
    <w:name w:val="Hyperlink"/>
    <w:basedOn w:val="DefaultParagraphFont"/>
    <w:uiPriority w:val="99"/>
    <w:rsid w:val="007A00E8"/>
    <w:rPr>
      <w:rFonts w:ascii="Calibri" w:eastAsia="仿宋" w:hAnsi="Calibri" w:cs="Calibri"/>
      <w:color w:val="0000FF"/>
      <w:sz w:val="24"/>
      <w:szCs w:val="24"/>
      <w:u w:val="single"/>
    </w:rPr>
  </w:style>
  <w:style w:type="paragraph" w:styleId="Header">
    <w:name w:val="header"/>
    <w:basedOn w:val="Normal"/>
    <w:link w:val="HeaderChar"/>
    <w:uiPriority w:val="99"/>
    <w:rsid w:val="00C01C11"/>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locked/>
    <w:rsid w:val="00C01C11"/>
    <w:rPr>
      <w:rFonts w:ascii="Calibri" w:eastAsia="宋体" w:hAnsi="Calibri" w:cs="Calibri"/>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TotalTime>
  <Pages>6</Pages>
  <Words>293</Words>
  <Characters>1671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GXQ</dc:creator>
  <cp:keywords/>
  <dc:description/>
  <cp:lastModifiedBy>PC</cp:lastModifiedBy>
  <cp:revision>4</cp:revision>
  <cp:lastPrinted>2023-06-21T08:20:00Z</cp:lastPrinted>
  <dcterms:created xsi:type="dcterms:W3CDTF">2021-12-17T08:11:00Z</dcterms:created>
  <dcterms:modified xsi:type="dcterms:W3CDTF">2023-07-06T02:49:00Z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CD2708D124164EE6B52ED9572F42DE2E_12</vt:lpwstr>
  </property>
</Properties>
</file>