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mc:AlternateContent>
          <mc:Choice Requires="wps">
            <w:drawing>
              <wp:anchor distT="0" distB="0" distL="114300" distR="114300" simplePos="0" relativeHeight="251658240" behindDoc="0" locked="0" layoutInCell="1" allowOverlap="1">
                <wp:simplePos x="0" y="0"/>
                <wp:positionH relativeFrom="column">
                  <wp:posOffset>-104140</wp:posOffset>
                </wp:positionH>
                <wp:positionV relativeFrom="paragraph">
                  <wp:posOffset>-34925</wp:posOffset>
                </wp:positionV>
                <wp:extent cx="5024755" cy="2599055"/>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5024535" cy="25990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1000" w:lineRule="exact"/>
                              <w:jc w:val="distribute"/>
                              <w:textAlignment w:val="auto"/>
                              <w:rPr>
                                <w:rFonts w:ascii="方正小标宋简体" w:hAnsi="方正小标宋简体" w:eastAsia="方正小标宋简体" w:cs="方正小标宋简体"/>
                                <w:color w:val="FF0000"/>
                                <w:w w:val="50"/>
                                <w:sz w:val="90"/>
                                <w:szCs w:val="90"/>
                              </w:rPr>
                            </w:pPr>
                            <w:r>
                              <w:rPr>
                                <w:rFonts w:hint="eastAsia" w:ascii="方正小标宋简体" w:hAnsi="方正小标宋简体" w:eastAsia="方正小标宋简体" w:cs="方正小标宋简体"/>
                                <w:color w:val="FF0000"/>
                                <w:w w:val="50"/>
                                <w:sz w:val="90"/>
                                <w:szCs w:val="90"/>
                              </w:rPr>
                              <w:t>恩施州政务服务和大数据管理局</w:t>
                            </w:r>
                          </w:p>
                          <w:p>
                            <w:pPr>
                              <w:keepNext w:val="0"/>
                              <w:keepLines w:val="0"/>
                              <w:pageBreakBefore w:val="0"/>
                              <w:widowControl w:val="0"/>
                              <w:kinsoku/>
                              <w:wordWrap/>
                              <w:overflowPunct/>
                              <w:topLinePunct w:val="0"/>
                              <w:autoSpaceDE/>
                              <w:autoSpaceDN/>
                              <w:bidi w:val="0"/>
                              <w:adjustRightInd/>
                              <w:snapToGrid/>
                              <w:spacing w:line="1000" w:lineRule="exact"/>
                              <w:jc w:val="distribute"/>
                              <w:textAlignment w:val="auto"/>
                              <w:rPr>
                                <w:rFonts w:ascii="方正小标宋简体" w:hAnsi="方正小标宋简体" w:eastAsia="方正小标宋简体" w:cs="方正小标宋简体"/>
                                <w:color w:val="FF0000"/>
                                <w:w w:val="60"/>
                                <w:sz w:val="90"/>
                                <w:szCs w:val="90"/>
                              </w:rPr>
                            </w:pPr>
                            <w:r>
                              <w:rPr>
                                <w:rFonts w:hint="eastAsia" w:ascii="方正小标宋简体" w:hAnsi="方正小标宋简体" w:eastAsia="方正小标宋简体" w:cs="方正小标宋简体"/>
                                <w:color w:val="FF0000"/>
                                <w:w w:val="60"/>
                                <w:sz w:val="90"/>
                                <w:szCs w:val="90"/>
                              </w:rPr>
                              <w:t>恩施州发展和改革委员会</w:t>
                            </w:r>
                          </w:p>
                          <w:p>
                            <w:pPr>
                              <w:keepNext w:val="0"/>
                              <w:keepLines w:val="0"/>
                              <w:pageBreakBefore w:val="0"/>
                              <w:widowControl w:val="0"/>
                              <w:kinsoku/>
                              <w:wordWrap/>
                              <w:overflowPunct/>
                              <w:topLinePunct w:val="0"/>
                              <w:autoSpaceDE/>
                              <w:autoSpaceDN/>
                              <w:bidi w:val="0"/>
                              <w:adjustRightInd/>
                              <w:snapToGrid/>
                              <w:spacing w:line="1000" w:lineRule="exact"/>
                              <w:jc w:val="distribute"/>
                              <w:textAlignment w:val="auto"/>
                              <w:rPr>
                                <w:rFonts w:ascii="方正小标宋简体" w:hAnsi="方正小标宋简体" w:eastAsia="方正小标宋简体" w:cs="方正小标宋简体"/>
                                <w:color w:val="FF0000"/>
                                <w:w w:val="60"/>
                                <w:sz w:val="90"/>
                                <w:szCs w:val="90"/>
                              </w:rPr>
                            </w:pPr>
                            <w:r>
                              <w:rPr>
                                <w:rFonts w:hint="eastAsia" w:ascii="方正小标宋简体" w:hAnsi="方正小标宋简体" w:eastAsia="方正小标宋简体" w:cs="方正小标宋简体"/>
                                <w:color w:val="FF0000"/>
                                <w:w w:val="60"/>
                                <w:sz w:val="90"/>
                                <w:szCs w:val="90"/>
                              </w:rPr>
                              <w:t>恩施州住房和城乡建设局</w:t>
                            </w:r>
                          </w:p>
                          <w:p>
                            <w:pPr>
                              <w:keepNext w:val="0"/>
                              <w:keepLines w:val="0"/>
                              <w:pageBreakBefore w:val="0"/>
                              <w:widowControl w:val="0"/>
                              <w:kinsoku/>
                              <w:wordWrap/>
                              <w:overflowPunct/>
                              <w:topLinePunct w:val="0"/>
                              <w:autoSpaceDE/>
                              <w:autoSpaceDN/>
                              <w:bidi w:val="0"/>
                              <w:adjustRightInd/>
                              <w:snapToGrid/>
                              <w:spacing w:line="1000" w:lineRule="exact"/>
                              <w:jc w:val="distribute"/>
                              <w:textAlignment w:val="auto"/>
                              <w:rPr>
                                <w:rFonts w:ascii="方正小标宋简体" w:hAnsi="方正小标宋简体" w:eastAsia="方正小标宋简体" w:cs="方正小标宋简体"/>
                                <w:color w:val="FF0000"/>
                                <w:w w:val="60"/>
                                <w:sz w:val="80"/>
                                <w:szCs w:val="80"/>
                              </w:rPr>
                            </w:pPr>
                            <w:r>
                              <w:rPr>
                                <w:rFonts w:hint="eastAsia" w:ascii="方正小标宋简体" w:hAnsi="方正小标宋简体" w:eastAsia="方正小标宋简体" w:cs="方正小标宋简体"/>
                                <w:color w:val="FF0000"/>
                                <w:w w:val="60"/>
                                <w:sz w:val="90"/>
                                <w:szCs w:val="90"/>
                              </w:rPr>
                              <w:t>恩施州公共资源交易中心</w:t>
                            </w:r>
                          </w:p>
                          <w:p>
                            <w:pPr>
                              <w:spacing w:line="1200" w:lineRule="exact"/>
                              <w:jc w:val="distribute"/>
                              <w:rPr>
                                <w:rFonts w:ascii="方正小标宋简体" w:hAnsi="方正小标宋简体" w:eastAsia="方正小标宋简体" w:cs="方正小标宋简体"/>
                                <w:color w:val="FF0000"/>
                                <w:w w:val="60"/>
                                <w:sz w:val="100"/>
                                <w:szCs w:val="100"/>
                              </w:rPr>
                            </w:pP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8.2pt;margin-top:-2.75pt;height:204.65pt;width:395.65pt;z-index:251658240;mso-width-relative:page;mso-height-relative:page;" filled="f" stroked="f" coordsize="21600,21600" o:gfxdata="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BYSXyD3AAAAAoBAAAPAAAAAAAAAAEAIAAAADgAAABk&#10;cnMvZG93bnJldi54bWxQSwECFAAUAAAACACHTuJAwQymlyUCAAArBAAADgAAAAAAAAABACAAAABB&#10;AQAAZHJzL2Uyb0RvYy54bWxQSwUGAAAAAAYABgBZAQAA2AUAAAAA&#10;">
                <v:fill on="f" focussize="0,0"/>
                <v:stroke on="f" weight="0.5pt"/>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1000" w:lineRule="exact"/>
                        <w:jc w:val="distribute"/>
                        <w:textAlignment w:val="auto"/>
                        <w:rPr>
                          <w:rFonts w:ascii="方正小标宋简体" w:hAnsi="方正小标宋简体" w:eastAsia="方正小标宋简体" w:cs="方正小标宋简体"/>
                          <w:color w:val="FF0000"/>
                          <w:w w:val="50"/>
                          <w:sz w:val="90"/>
                          <w:szCs w:val="90"/>
                        </w:rPr>
                      </w:pPr>
                      <w:r>
                        <w:rPr>
                          <w:rFonts w:hint="eastAsia" w:ascii="方正小标宋简体" w:hAnsi="方正小标宋简体" w:eastAsia="方正小标宋简体" w:cs="方正小标宋简体"/>
                          <w:color w:val="FF0000"/>
                          <w:w w:val="50"/>
                          <w:sz w:val="90"/>
                          <w:szCs w:val="90"/>
                        </w:rPr>
                        <w:t>恩施州政务服务和大数据管理局</w:t>
                      </w:r>
                    </w:p>
                    <w:p>
                      <w:pPr>
                        <w:keepNext w:val="0"/>
                        <w:keepLines w:val="0"/>
                        <w:pageBreakBefore w:val="0"/>
                        <w:widowControl w:val="0"/>
                        <w:kinsoku/>
                        <w:wordWrap/>
                        <w:overflowPunct/>
                        <w:topLinePunct w:val="0"/>
                        <w:autoSpaceDE/>
                        <w:autoSpaceDN/>
                        <w:bidi w:val="0"/>
                        <w:adjustRightInd/>
                        <w:snapToGrid/>
                        <w:spacing w:line="1000" w:lineRule="exact"/>
                        <w:jc w:val="distribute"/>
                        <w:textAlignment w:val="auto"/>
                        <w:rPr>
                          <w:rFonts w:ascii="方正小标宋简体" w:hAnsi="方正小标宋简体" w:eastAsia="方正小标宋简体" w:cs="方正小标宋简体"/>
                          <w:color w:val="FF0000"/>
                          <w:w w:val="60"/>
                          <w:sz w:val="90"/>
                          <w:szCs w:val="90"/>
                        </w:rPr>
                      </w:pPr>
                      <w:r>
                        <w:rPr>
                          <w:rFonts w:hint="eastAsia" w:ascii="方正小标宋简体" w:hAnsi="方正小标宋简体" w:eastAsia="方正小标宋简体" w:cs="方正小标宋简体"/>
                          <w:color w:val="FF0000"/>
                          <w:w w:val="60"/>
                          <w:sz w:val="90"/>
                          <w:szCs w:val="90"/>
                        </w:rPr>
                        <w:t>恩施州发展和改革委员会</w:t>
                      </w:r>
                    </w:p>
                    <w:p>
                      <w:pPr>
                        <w:keepNext w:val="0"/>
                        <w:keepLines w:val="0"/>
                        <w:pageBreakBefore w:val="0"/>
                        <w:widowControl w:val="0"/>
                        <w:kinsoku/>
                        <w:wordWrap/>
                        <w:overflowPunct/>
                        <w:topLinePunct w:val="0"/>
                        <w:autoSpaceDE/>
                        <w:autoSpaceDN/>
                        <w:bidi w:val="0"/>
                        <w:adjustRightInd/>
                        <w:snapToGrid/>
                        <w:spacing w:line="1000" w:lineRule="exact"/>
                        <w:jc w:val="distribute"/>
                        <w:textAlignment w:val="auto"/>
                        <w:rPr>
                          <w:rFonts w:ascii="方正小标宋简体" w:hAnsi="方正小标宋简体" w:eastAsia="方正小标宋简体" w:cs="方正小标宋简体"/>
                          <w:color w:val="FF0000"/>
                          <w:w w:val="60"/>
                          <w:sz w:val="90"/>
                          <w:szCs w:val="90"/>
                        </w:rPr>
                      </w:pPr>
                      <w:r>
                        <w:rPr>
                          <w:rFonts w:hint="eastAsia" w:ascii="方正小标宋简体" w:hAnsi="方正小标宋简体" w:eastAsia="方正小标宋简体" w:cs="方正小标宋简体"/>
                          <w:color w:val="FF0000"/>
                          <w:w w:val="60"/>
                          <w:sz w:val="90"/>
                          <w:szCs w:val="90"/>
                        </w:rPr>
                        <w:t>恩施州住房和城乡建设局</w:t>
                      </w:r>
                    </w:p>
                    <w:p>
                      <w:pPr>
                        <w:keepNext w:val="0"/>
                        <w:keepLines w:val="0"/>
                        <w:pageBreakBefore w:val="0"/>
                        <w:widowControl w:val="0"/>
                        <w:kinsoku/>
                        <w:wordWrap/>
                        <w:overflowPunct/>
                        <w:topLinePunct w:val="0"/>
                        <w:autoSpaceDE/>
                        <w:autoSpaceDN/>
                        <w:bidi w:val="0"/>
                        <w:adjustRightInd/>
                        <w:snapToGrid/>
                        <w:spacing w:line="1000" w:lineRule="exact"/>
                        <w:jc w:val="distribute"/>
                        <w:textAlignment w:val="auto"/>
                        <w:rPr>
                          <w:rFonts w:ascii="方正小标宋简体" w:hAnsi="方正小标宋简体" w:eastAsia="方正小标宋简体" w:cs="方正小标宋简体"/>
                          <w:color w:val="FF0000"/>
                          <w:w w:val="60"/>
                          <w:sz w:val="80"/>
                          <w:szCs w:val="80"/>
                        </w:rPr>
                      </w:pPr>
                      <w:r>
                        <w:rPr>
                          <w:rFonts w:hint="eastAsia" w:ascii="方正小标宋简体" w:hAnsi="方正小标宋简体" w:eastAsia="方正小标宋简体" w:cs="方正小标宋简体"/>
                          <w:color w:val="FF0000"/>
                          <w:w w:val="60"/>
                          <w:sz w:val="90"/>
                          <w:szCs w:val="90"/>
                        </w:rPr>
                        <w:t>恩施州公共资源交易中心</w:t>
                      </w:r>
                    </w:p>
                    <w:p>
                      <w:pPr>
                        <w:spacing w:line="1200" w:lineRule="exact"/>
                        <w:jc w:val="distribute"/>
                        <w:rPr>
                          <w:rFonts w:ascii="方正小标宋简体" w:hAnsi="方正小标宋简体" w:eastAsia="方正小标宋简体" w:cs="方正小标宋简体"/>
                          <w:color w:val="FF0000"/>
                          <w:w w:val="60"/>
                          <w:sz w:val="100"/>
                          <w:szCs w:val="100"/>
                        </w:rPr>
                      </w:pPr>
                    </w:p>
                  </w:txbxContent>
                </v:textbox>
              </v:shape>
            </w:pict>
          </mc:Fallback>
        </mc:AlternateContent>
      </w:r>
      <w:r>
        <w:rPr>
          <w:rFonts w:hint="eastAsia"/>
        </w:rPr>
        <w:t xml:space="preserve"> </w:t>
      </w:r>
    </w:p>
    <w:p/>
    <w:p>
      <w:r>
        <mc:AlternateContent>
          <mc:Choice Requires="wps">
            <w:drawing>
              <wp:anchor distT="0" distB="0" distL="114300" distR="114300" simplePos="0" relativeHeight="251659264" behindDoc="0" locked="0" layoutInCell="1" allowOverlap="1">
                <wp:simplePos x="0" y="0"/>
                <wp:positionH relativeFrom="column">
                  <wp:posOffset>4839335</wp:posOffset>
                </wp:positionH>
                <wp:positionV relativeFrom="paragraph">
                  <wp:posOffset>90805</wp:posOffset>
                </wp:positionV>
                <wp:extent cx="1152525" cy="1510665"/>
                <wp:effectExtent l="0" t="0" r="0" b="0"/>
                <wp:wrapNone/>
                <wp:docPr id="3" name="文本框 3"/>
                <wp:cNvGraphicFramePr/>
                <a:graphic xmlns:a="http://schemas.openxmlformats.org/drawingml/2006/main">
                  <a:graphicData uri="http://schemas.microsoft.com/office/word/2010/wordprocessingShape">
                    <wps:wsp>
                      <wps:cNvSpPr txBox="true"/>
                      <wps:spPr>
                        <a:xfrm>
                          <a:off x="0" y="0"/>
                          <a:ext cx="1152525" cy="15106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ascii="方正小标宋简体" w:hAnsi="方正小标宋简体" w:eastAsia="方正小标宋简体" w:cs="方正小标宋简体"/>
                                <w:color w:val="FF0000"/>
                                <w:w w:val="40"/>
                                <w:sz w:val="150"/>
                                <w:szCs w:val="150"/>
                              </w:rPr>
                            </w:pPr>
                            <w:r>
                              <w:rPr>
                                <w:rFonts w:hint="eastAsia" w:ascii="方正小标宋简体" w:hAnsi="方正小标宋简体" w:eastAsia="方正小标宋简体" w:cs="方正小标宋简体"/>
                                <w:color w:val="FF0000"/>
                                <w:w w:val="40"/>
                                <w:sz w:val="150"/>
                                <w:szCs w:val="150"/>
                              </w:rPr>
                              <w:t>文件</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381.05pt;margin-top:7.15pt;height:118.95pt;width:90.75pt;z-index:251659264;mso-width-relative:page;mso-height-relative:page;" filled="f" stroked="f" coordsize="21600,21600" o:gfxdata="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B2QdX52wAAAAoBAAAPAAAAAAAAAAEAIAAAADgAAABk&#10;cnMvZG93bnJldi54bWxQSwECFAAUAAAACACHTuJAY4irhCYCAAArBAAADgAAAAAAAAABACAAAABA&#10;AQAAZHJzL2Uyb0RvYy54bWxQSwUGAAAAAAYABgBZAQAA2AUAAAAA&#10;">
                <v:fill on="f" focussize="0,0"/>
                <v:stroke on="f" weight="0.5pt"/>
                <v:imagedata o:title=""/>
                <o:lock v:ext="edit" aspectratio="f"/>
                <v:textbox>
                  <w:txbxContent>
                    <w:p>
                      <w:pPr>
                        <w:rPr>
                          <w:rFonts w:ascii="方正小标宋简体" w:hAnsi="方正小标宋简体" w:eastAsia="方正小标宋简体" w:cs="方正小标宋简体"/>
                          <w:color w:val="FF0000"/>
                          <w:w w:val="40"/>
                          <w:sz w:val="150"/>
                          <w:szCs w:val="150"/>
                        </w:rPr>
                      </w:pPr>
                      <w:r>
                        <w:rPr>
                          <w:rFonts w:hint="eastAsia" w:ascii="方正小标宋简体" w:hAnsi="方正小标宋简体" w:eastAsia="方正小标宋简体" w:cs="方正小标宋简体"/>
                          <w:color w:val="FF0000"/>
                          <w:w w:val="40"/>
                          <w:sz w:val="150"/>
                          <w:szCs w:val="150"/>
                        </w:rPr>
                        <w:t>文件</w:t>
                      </w:r>
                    </w:p>
                  </w:txbxContent>
                </v:textbox>
              </v:shape>
            </w:pict>
          </mc:Fallback>
        </mc:AlternateContent>
      </w:r>
    </w:p>
    <w:p/>
    <w:p/>
    <w:p/>
    <w:p/>
    <w:p/>
    <w:p/>
    <w:p/>
    <w:p/>
    <w:p/>
    <w:p>
      <w:pPr>
        <w:tabs>
          <w:tab w:val="left" w:pos="6635"/>
        </w:tabs>
        <w:spacing w:line="500" w:lineRule="exact"/>
        <w:jc w:val="both"/>
        <w:rPr>
          <w:rFonts w:hint="eastAsia" w:ascii="仿宋_GB2312" w:hAnsi="宋体" w:eastAsia="仿宋_GB2312" w:cs="宋体"/>
          <w:kern w:val="0"/>
          <w:sz w:val="32"/>
          <w:szCs w:val="32"/>
        </w:rPr>
      </w:pPr>
    </w:p>
    <w:p>
      <w:pPr>
        <w:tabs>
          <w:tab w:val="left" w:pos="6635"/>
        </w:tabs>
        <w:spacing w:line="500" w:lineRule="exact"/>
        <w:jc w:val="center"/>
        <w:rPr>
          <w:rFonts w:hint="eastAsia" w:ascii="仿宋_GB2312" w:hAnsi="宋体" w:eastAsia="仿宋_GB2312" w:cs="宋体"/>
          <w:kern w:val="0"/>
          <w:sz w:val="32"/>
          <w:szCs w:val="32"/>
        </w:rPr>
      </w:pPr>
    </w:p>
    <w:p>
      <w:pPr>
        <w:tabs>
          <w:tab w:val="left" w:pos="6635"/>
        </w:tabs>
        <w:spacing w:line="500" w:lineRule="exact"/>
        <w:jc w:val="center"/>
        <w:rPr>
          <w:rFonts w:ascii="仿宋_GB2312" w:hAnsi="宋体" w:eastAsia="仿宋_GB2312" w:cs="宋体"/>
          <w:kern w:val="0"/>
          <w:sz w:val="32"/>
          <w:szCs w:val="32"/>
        </w:rPr>
      </w:pPr>
      <w:r>
        <w:rPr>
          <w:rFonts w:hint="eastAsia" w:ascii="仿宋_GB2312" w:hAnsi="宋体" w:eastAsia="仿宋_GB2312" w:cs="宋体"/>
          <w:kern w:val="0"/>
          <w:sz w:val="32"/>
          <w:szCs w:val="32"/>
        </w:rPr>
        <w:t>恩施州政务发〔202</w:t>
      </w:r>
      <w:r>
        <w:rPr>
          <w:rFonts w:hint="eastAsia" w:ascii="仿宋_GB2312" w:hAnsi="宋体" w:eastAsia="仿宋_GB2312" w:cs="宋体"/>
          <w:kern w:val="0"/>
          <w:sz w:val="32"/>
          <w:szCs w:val="32"/>
          <w:lang w:val="en-US" w:eastAsia="zh-CN"/>
        </w:rPr>
        <w:t>2</w:t>
      </w:r>
      <w:r>
        <w:rPr>
          <w:rFonts w:hint="eastAsia" w:ascii="仿宋_GB2312" w:hAnsi="宋体" w:eastAsia="仿宋_GB2312" w:cs="宋体"/>
          <w:kern w:val="0"/>
          <w:sz w:val="32"/>
          <w:szCs w:val="32"/>
        </w:rPr>
        <w:t>〕</w:t>
      </w:r>
      <w:r>
        <w:rPr>
          <w:rFonts w:hint="eastAsia" w:ascii="仿宋_GB2312" w:hAnsi="宋体" w:eastAsia="仿宋_GB2312" w:cs="宋体"/>
          <w:kern w:val="0"/>
          <w:sz w:val="32"/>
          <w:szCs w:val="32"/>
          <w:lang w:val="en-US" w:eastAsia="zh-CN"/>
        </w:rPr>
        <w:t>6</w:t>
      </w:r>
      <w:r>
        <w:rPr>
          <w:rFonts w:hint="eastAsia" w:ascii="仿宋_GB2312" w:hAnsi="宋体" w:eastAsia="仿宋_GB2312" w:cs="宋体"/>
          <w:kern w:val="0"/>
          <w:sz w:val="32"/>
          <w:szCs w:val="32"/>
        </w:rPr>
        <w:t>号</w:t>
      </w:r>
    </w:p>
    <w:p>
      <w:r>
        <mc:AlternateContent>
          <mc:Choice Requires="wps">
            <w:drawing>
              <wp:anchor distT="0" distB="0" distL="114300" distR="114300" simplePos="0" relativeHeight="251660288" behindDoc="0" locked="0" layoutInCell="1" allowOverlap="1">
                <wp:simplePos x="0" y="0"/>
                <wp:positionH relativeFrom="column">
                  <wp:posOffset>-76835</wp:posOffset>
                </wp:positionH>
                <wp:positionV relativeFrom="paragraph">
                  <wp:posOffset>14605</wp:posOffset>
                </wp:positionV>
                <wp:extent cx="5835650" cy="0"/>
                <wp:effectExtent l="0" t="19050" r="12700" b="19050"/>
                <wp:wrapNone/>
                <wp:docPr id="4" name="直接连接符 4"/>
                <wp:cNvGraphicFramePr/>
                <a:graphic xmlns:a="http://schemas.openxmlformats.org/drawingml/2006/main">
                  <a:graphicData uri="http://schemas.microsoft.com/office/word/2010/wordprocessingShape">
                    <wps:wsp>
                      <wps:cNvCnPr/>
                      <wps:spPr>
                        <a:xfrm>
                          <a:off x="0" y="0"/>
                          <a:ext cx="5835650"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6.05pt;margin-top:1.15pt;height:0pt;width:459.5pt;z-index:251660288;mso-width-relative:page;mso-height-relative:page;" filled="f" stroked="t" coordsize="21600,21600" o:gfxdata="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WAAAAZHJzL1BLAQIUABQAAAAIAIdO4kC/9LQV1gAAAAcBAAAP&#10;AAAAAAAAAAEAIAAAADgAAABkcnMvZG93bnJldi54bWxQSwECFAAUAAAACACHTuJA+SLL/MsBAABk&#10;AwAADgAAAAAAAAABACAAAAA7AQAAZHJzL2Uyb0RvYy54bWxQSwUGAAAAAAYABgBZAQAAeAUAAAAA&#10;">
                <v:fill on="f" focussize="0,0"/>
                <v:stroke weight="2.25pt" color="#FF0000 [3204]" miterlimit="8" joinstyle="miter"/>
                <v:imagedata o:title=""/>
                <o:lock v:ext="edit" aspectratio="f"/>
              </v:line>
            </w:pict>
          </mc:Fallback>
        </mc:AlternateContent>
      </w:r>
    </w:p>
    <w:p/>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outlineLvl w:val="9"/>
        <w:rPr>
          <w:rFonts w:hint="eastAsia" w:ascii="方正小标宋简体" w:hAnsi="方正小标宋简体" w:eastAsia="方正小标宋简体" w:cs="方正小标宋简体"/>
          <w:color w:val="auto"/>
          <w:w w:val="95"/>
          <w:sz w:val="44"/>
          <w:szCs w:val="44"/>
          <w:highlight w:val="none"/>
          <w:lang w:val="en-US" w:eastAsia="zh-CN"/>
        </w:rPr>
      </w:pPr>
    </w:p>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outlineLvl w:val="9"/>
        <w:rPr>
          <w:rStyle w:val="10"/>
          <w:rFonts w:ascii="方正小标宋简体" w:hAnsi="方正小标宋简体" w:eastAsia="方正小标宋简体"/>
          <w:b w:val="0"/>
          <w:i w:val="0"/>
          <w:caps w:val="0"/>
          <w:spacing w:val="0"/>
          <w:w w:val="100"/>
          <w:kern w:val="2"/>
          <w:sz w:val="44"/>
          <w:szCs w:val="44"/>
          <w:lang w:val="en-US" w:eastAsia="zh-CN" w:bidi="ar-SA"/>
        </w:rPr>
      </w:pPr>
      <w:r>
        <w:rPr>
          <w:rFonts w:hint="eastAsia" w:ascii="方正小标宋简体" w:hAnsi="方正小标宋简体" w:eastAsia="方正小标宋简体" w:cs="方正小标宋简体"/>
          <w:color w:val="auto"/>
          <w:w w:val="95"/>
          <w:sz w:val="44"/>
          <w:szCs w:val="44"/>
          <w:highlight w:val="none"/>
          <w:lang w:val="en-US" w:eastAsia="zh-CN"/>
        </w:rPr>
        <w:t>关于印发《</w:t>
      </w:r>
      <w:r>
        <w:rPr>
          <w:rStyle w:val="10"/>
          <w:rFonts w:ascii="方正小标宋简体" w:hAnsi="方正小标宋简体" w:eastAsia="方正小标宋简体"/>
          <w:b w:val="0"/>
          <w:i w:val="0"/>
          <w:caps w:val="0"/>
          <w:spacing w:val="0"/>
          <w:w w:val="100"/>
          <w:kern w:val="2"/>
          <w:sz w:val="44"/>
          <w:szCs w:val="44"/>
          <w:lang w:val="en-US" w:eastAsia="zh-CN" w:bidi="ar-SA"/>
        </w:rPr>
        <w:t>关于进一步规范房屋建筑和市政</w:t>
      </w:r>
    </w:p>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outlineLvl w:val="9"/>
        <w:rPr>
          <w:rStyle w:val="10"/>
          <w:rFonts w:ascii="方正小标宋简体" w:hAnsi="方正小标宋简体" w:eastAsia="方正小标宋简体"/>
          <w:b w:val="0"/>
          <w:i w:val="0"/>
          <w:caps w:val="0"/>
          <w:spacing w:val="0"/>
          <w:w w:val="100"/>
          <w:kern w:val="2"/>
          <w:sz w:val="44"/>
          <w:szCs w:val="44"/>
          <w:lang w:val="en-US" w:eastAsia="zh-CN" w:bidi="ar-SA"/>
        </w:rPr>
      </w:pPr>
      <w:r>
        <w:rPr>
          <w:rStyle w:val="10"/>
          <w:rFonts w:ascii="方正小标宋简体" w:hAnsi="方正小标宋简体" w:eastAsia="方正小标宋简体"/>
          <w:b w:val="0"/>
          <w:i w:val="0"/>
          <w:caps w:val="0"/>
          <w:spacing w:val="0"/>
          <w:w w:val="100"/>
          <w:kern w:val="2"/>
          <w:sz w:val="44"/>
          <w:szCs w:val="44"/>
          <w:lang w:val="en-US" w:eastAsia="zh-CN" w:bidi="ar-SA"/>
        </w:rPr>
        <w:t>基础设施工程招投标“评定分离”定标工作</w:t>
      </w:r>
    </w:p>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outlineLvl w:val="9"/>
        <w:rPr>
          <w:rFonts w:hint="eastAsia" w:ascii="方正小标宋简体" w:hAnsi="方正小标宋简体" w:eastAsia="方正小标宋简体" w:cs="方正小标宋简体"/>
          <w:color w:val="auto"/>
          <w:w w:val="95"/>
          <w:sz w:val="44"/>
          <w:szCs w:val="44"/>
          <w:highlight w:val="none"/>
          <w:lang w:val="en-US" w:eastAsia="zh-CN"/>
        </w:rPr>
      </w:pPr>
      <w:r>
        <w:rPr>
          <w:rStyle w:val="10"/>
          <w:rFonts w:ascii="方正小标宋简体" w:hAnsi="方正小标宋简体" w:eastAsia="方正小标宋简体"/>
          <w:b w:val="0"/>
          <w:i w:val="0"/>
          <w:caps w:val="0"/>
          <w:spacing w:val="0"/>
          <w:w w:val="100"/>
          <w:kern w:val="2"/>
          <w:sz w:val="44"/>
          <w:szCs w:val="44"/>
          <w:lang w:val="en-US" w:eastAsia="zh-CN" w:bidi="ar-SA"/>
        </w:rPr>
        <w:t>的措施</w:t>
      </w:r>
      <w:r>
        <w:rPr>
          <w:rFonts w:hint="eastAsia" w:ascii="方正小标宋简体" w:hAnsi="方正小标宋简体" w:eastAsia="方正小标宋简体" w:cs="方正小标宋简体"/>
          <w:color w:val="auto"/>
          <w:w w:val="95"/>
          <w:sz w:val="44"/>
          <w:szCs w:val="44"/>
          <w:highlight w:val="none"/>
          <w:lang w:val="en-US" w:eastAsia="zh-CN"/>
        </w:rPr>
        <w:t>》的通知</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w w:val="95"/>
          <w:sz w:val="44"/>
          <w:szCs w:val="4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color w:val="auto"/>
          <w:w w:val="95"/>
          <w:sz w:val="32"/>
          <w:szCs w:val="32"/>
          <w:highlight w:val="none"/>
          <w:lang w:val="en-US" w:eastAsia="zh-CN"/>
        </w:rPr>
      </w:pPr>
      <w:r>
        <w:rPr>
          <w:rFonts w:hint="eastAsia" w:ascii="仿宋_GB2312" w:hAnsi="仿宋_GB2312" w:eastAsia="仿宋_GB2312" w:cs="仿宋_GB2312"/>
          <w:color w:val="auto"/>
          <w:w w:val="95"/>
          <w:sz w:val="32"/>
          <w:szCs w:val="32"/>
          <w:highlight w:val="none"/>
          <w:lang w:val="en-US" w:eastAsia="zh-CN"/>
        </w:rPr>
        <w:t>各县市政务局、发改局、住建局、公共资源交易中心，各有关单位：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w w:val="100"/>
          <w:sz w:val="32"/>
          <w:szCs w:val="32"/>
          <w:highlight w:val="none"/>
          <w:lang w:val="en-US" w:eastAsia="zh-CN"/>
        </w:rPr>
      </w:pPr>
      <w:r>
        <w:rPr>
          <w:rFonts w:hint="eastAsia" w:ascii="仿宋_GB2312" w:hAnsi="仿宋_GB2312" w:eastAsia="仿宋_GB2312" w:cs="仿宋_GB2312"/>
          <w:color w:val="auto"/>
          <w:w w:val="100"/>
          <w:sz w:val="32"/>
          <w:szCs w:val="32"/>
          <w:highlight w:val="none"/>
          <w:lang w:val="en-US" w:eastAsia="zh-CN"/>
        </w:rPr>
        <w:t>为贯彻落实</w:t>
      </w:r>
      <w:r>
        <w:rPr>
          <w:rFonts w:hint="eastAsia" w:ascii="仿宋_GB2312" w:hAnsi="仿宋_GB2312" w:eastAsia="仿宋_GB2312" w:cs="仿宋_GB2312"/>
          <w:w w:val="100"/>
          <w:sz w:val="32"/>
          <w:szCs w:val="32"/>
          <w:highlight w:val="none"/>
          <w:lang w:eastAsia="zh-CN"/>
        </w:rPr>
        <w:t>《恩施州人民政府关于加强全州政府投资项目管理和完善公共资源交易工作措施》和</w:t>
      </w:r>
      <w:r>
        <w:rPr>
          <w:rStyle w:val="10"/>
          <w:rFonts w:ascii="仿宋_GB2312" w:hAnsi="仿宋_GB2312" w:eastAsia="仿宋_GB2312"/>
          <w:b w:val="0"/>
          <w:i w:val="0"/>
          <w:caps w:val="0"/>
          <w:spacing w:val="0"/>
          <w:w w:val="100"/>
          <w:kern w:val="2"/>
          <w:sz w:val="32"/>
          <w:szCs w:val="32"/>
          <w:lang w:val="en-US" w:eastAsia="zh-CN" w:bidi="ar-SA"/>
        </w:rPr>
        <w:t>《湖北省房屋建筑和市政基础设施工程招标投标“评定分离”改革试点工作指导意见》</w:t>
      </w:r>
      <w:r>
        <w:rPr>
          <w:rFonts w:hint="eastAsia" w:ascii="仿宋_GB2312" w:hAnsi="仿宋_GB2312" w:eastAsia="仿宋_GB2312" w:cs="仿宋_GB2312"/>
          <w:color w:val="auto"/>
          <w:w w:val="100"/>
          <w:sz w:val="32"/>
          <w:szCs w:val="32"/>
          <w:highlight w:val="none"/>
          <w:lang w:val="en-US" w:eastAsia="zh-CN"/>
        </w:rPr>
        <w:t>，经州人民政府同意，现将《关于进一步规范房屋建筑和市政基础设施</w:t>
      </w:r>
      <w:r>
        <w:rPr>
          <w:rFonts w:hint="eastAsia" w:ascii="仿宋_GB2312" w:hAnsi="仿宋_GB2312" w:eastAsia="仿宋_GB2312" w:cs="仿宋_GB2312"/>
          <w:color w:val="auto"/>
          <w:w w:val="100"/>
          <w:sz w:val="32"/>
          <w:szCs w:val="32"/>
          <w:highlight w:val="none"/>
          <w:lang w:val="en-US" w:eastAsia="zh-CN"/>
        </w:rPr>
        <w:t>工程招投标“评定分离”定标工作的措施》印发给你们，请遵照执行。</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color w:val="auto"/>
          <w:w w:val="95"/>
          <w:sz w:val="32"/>
          <w:szCs w:val="32"/>
          <w:highlight w:val="none"/>
          <w:lang w:val="en-US" w:eastAsia="zh-CN"/>
        </w:rPr>
      </w:pPr>
      <w:r>
        <w:rPr>
          <w:rFonts w:hint="eastAsia" w:ascii="仿宋_GB2312" w:hAnsi="仿宋_GB2312" w:eastAsia="仿宋_GB2312" w:cs="仿宋_GB2312"/>
          <w:color w:val="auto"/>
          <w:w w:val="95"/>
          <w:sz w:val="32"/>
          <w:szCs w:val="32"/>
          <w:highlight w:val="none"/>
          <w:lang w:val="en-US" w:eastAsia="zh-CN"/>
        </w:rPr>
        <w:t>（此页无正文）</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color w:val="auto"/>
          <w:w w:val="95"/>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1824" w:firstLineChars="600"/>
        <w:jc w:val="both"/>
        <w:textAlignment w:val="auto"/>
        <w:rPr>
          <w:rFonts w:hint="eastAsia" w:ascii="仿宋_GB2312" w:hAnsi="仿宋_GB2312" w:eastAsia="仿宋_GB2312" w:cs="仿宋_GB2312"/>
          <w:color w:val="auto"/>
          <w:w w:val="95"/>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912" w:firstLineChars="300"/>
        <w:jc w:val="both"/>
        <w:textAlignment w:val="auto"/>
        <w:rPr>
          <w:rFonts w:hint="eastAsia" w:ascii="仿宋_GB2312" w:hAnsi="仿宋_GB2312" w:eastAsia="仿宋_GB2312" w:cs="仿宋_GB2312"/>
          <w:color w:val="auto"/>
          <w:w w:val="95"/>
          <w:sz w:val="32"/>
          <w:szCs w:val="32"/>
          <w:highlight w:val="none"/>
          <w:lang w:val="en-US" w:eastAsia="zh-CN"/>
        </w:rPr>
      </w:pPr>
      <w:r>
        <w:rPr>
          <w:rFonts w:hint="eastAsia" w:ascii="仿宋_GB2312" w:hAnsi="仿宋_GB2312" w:eastAsia="仿宋_GB2312" w:cs="仿宋_GB2312"/>
          <w:color w:val="auto"/>
          <w:w w:val="95"/>
          <w:sz w:val="32"/>
          <w:szCs w:val="32"/>
          <w:highlight w:val="none"/>
          <w:lang w:val="en-US" w:eastAsia="zh-CN"/>
        </w:rPr>
        <w:t xml:space="preserve"> 州政务局                      州发改委    </w:t>
      </w:r>
    </w:p>
    <w:p>
      <w:pPr>
        <w:keepNext w:val="0"/>
        <w:keepLines w:val="0"/>
        <w:pageBreakBefore w:val="0"/>
        <w:widowControl w:val="0"/>
        <w:kinsoku/>
        <w:wordWrap/>
        <w:overflowPunct/>
        <w:topLinePunct w:val="0"/>
        <w:autoSpaceDE/>
        <w:autoSpaceDN/>
        <w:bidi w:val="0"/>
        <w:adjustRightInd/>
        <w:snapToGrid/>
        <w:spacing w:line="560" w:lineRule="exact"/>
        <w:ind w:firstLine="912" w:firstLineChars="300"/>
        <w:jc w:val="both"/>
        <w:textAlignment w:val="auto"/>
        <w:rPr>
          <w:rFonts w:hint="eastAsia" w:ascii="仿宋_GB2312" w:hAnsi="仿宋_GB2312" w:eastAsia="仿宋_GB2312" w:cs="仿宋_GB2312"/>
          <w:color w:val="auto"/>
          <w:w w:val="95"/>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912" w:firstLineChars="300"/>
        <w:jc w:val="both"/>
        <w:textAlignment w:val="auto"/>
        <w:rPr>
          <w:rFonts w:hint="eastAsia" w:ascii="仿宋_GB2312" w:hAnsi="仿宋_GB2312" w:eastAsia="仿宋_GB2312" w:cs="仿宋_GB2312"/>
          <w:color w:val="auto"/>
          <w:w w:val="95"/>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1824" w:firstLineChars="600"/>
        <w:jc w:val="both"/>
        <w:textAlignment w:val="auto"/>
        <w:rPr>
          <w:rFonts w:hint="eastAsia" w:ascii="仿宋_GB2312" w:hAnsi="仿宋_GB2312" w:eastAsia="仿宋_GB2312" w:cs="仿宋_GB2312"/>
          <w:color w:val="auto"/>
          <w:w w:val="95"/>
          <w:sz w:val="32"/>
          <w:szCs w:val="32"/>
          <w:highlight w:val="none"/>
          <w:lang w:val="en-US" w:eastAsia="zh-CN"/>
        </w:rPr>
      </w:pPr>
      <w:r>
        <w:rPr>
          <w:rFonts w:hint="eastAsia" w:ascii="仿宋_GB2312" w:hAnsi="仿宋_GB2312" w:eastAsia="仿宋_GB2312" w:cs="仿宋_GB2312"/>
          <w:color w:val="auto"/>
          <w:w w:val="95"/>
          <w:sz w:val="32"/>
          <w:szCs w:val="32"/>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1824" w:firstLineChars="600"/>
        <w:jc w:val="both"/>
        <w:textAlignment w:val="auto"/>
        <w:rPr>
          <w:rFonts w:hint="eastAsia" w:ascii="仿宋_GB2312" w:hAnsi="仿宋_GB2312" w:eastAsia="仿宋_GB2312" w:cs="仿宋_GB2312"/>
          <w:color w:val="auto"/>
          <w:w w:val="95"/>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1824" w:firstLineChars="600"/>
        <w:jc w:val="both"/>
        <w:textAlignment w:val="auto"/>
        <w:rPr>
          <w:rFonts w:hint="eastAsia" w:ascii="仿宋_GB2312" w:hAnsi="仿宋_GB2312" w:eastAsia="仿宋_GB2312" w:cs="仿宋_GB2312"/>
          <w:color w:val="auto"/>
          <w:w w:val="95"/>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912" w:firstLineChars="300"/>
        <w:jc w:val="both"/>
        <w:textAlignment w:val="auto"/>
        <w:rPr>
          <w:rFonts w:hint="eastAsia" w:ascii="仿宋_GB2312" w:hAnsi="仿宋_GB2312" w:eastAsia="仿宋_GB2312" w:cs="仿宋_GB2312"/>
          <w:color w:val="auto"/>
          <w:w w:val="95"/>
          <w:sz w:val="32"/>
          <w:szCs w:val="32"/>
          <w:highlight w:val="none"/>
          <w:lang w:val="en-US" w:eastAsia="zh-CN"/>
        </w:rPr>
      </w:pPr>
      <w:r>
        <w:rPr>
          <w:rFonts w:hint="eastAsia" w:ascii="仿宋_GB2312" w:hAnsi="仿宋_GB2312" w:eastAsia="仿宋_GB2312" w:cs="仿宋_GB2312"/>
          <w:color w:val="auto"/>
          <w:w w:val="95"/>
          <w:sz w:val="32"/>
          <w:szCs w:val="32"/>
          <w:highlight w:val="none"/>
          <w:lang w:val="en-US" w:eastAsia="zh-CN"/>
        </w:rPr>
        <w:t xml:space="preserve"> 州住建局                  州公共资源交易中心     </w:t>
      </w:r>
    </w:p>
    <w:p>
      <w:pPr>
        <w:keepNext w:val="0"/>
        <w:keepLines w:val="0"/>
        <w:pageBreakBefore w:val="0"/>
        <w:widowControl w:val="0"/>
        <w:kinsoku/>
        <w:wordWrap/>
        <w:overflowPunct/>
        <w:topLinePunct w:val="0"/>
        <w:autoSpaceDE/>
        <w:autoSpaceDN/>
        <w:bidi w:val="0"/>
        <w:adjustRightInd/>
        <w:snapToGrid/>
        <w:spacing w:line="560" w:lineRule="exact"/>
        <w:ind w:firstLine="5168" w:firstLineChars="1700"/>
        <w:jc w:val="both"/>
        <w:textAlignment w:val="auto"/>
        <w:rPr>
          <w:rFonts w:hint="default" w:ascii="仿宋_GB2312" w:hAnsi="仿宋_GB2312" w:eastAsia="仿宋_GB2312" w:cs="仿宋_GB2312"/>
          <w:color w:val="auto"/>
          <w:w w:val="95"/>
          <w:sz w:val="32"/>
          <w:szCs w:val="32"/>
          <w:highlight w:val="none"/>
          <w:lang w:val="en-US" w:eastAsia="zh-CN"/>
        </w:rPr>
        <w:sectPr>
          <w:footerReference r:id="rId3" w:type="default"/>
          <w:pgSz w:w="11906" w:h="16838"/>
          <w:pgMar w:top="1984" w:right="1474" w:bottom="1871" w:left="1587" w:header="851" w:footer="992" w:gutter="0"/>
          <w:pgNumType w:fmt="decimal"/>
          <w:cols w:space="720" w:num="1"/>
          <w:rtlGutter w:val="0"/>
          <w:docGrid w:type="lines" w:linePitch="312" w:charSpace="0"/>
        </w:sectPr>
      </w:pPr>
      <w:r>
        <w:rPr>
          <w:rFonts w:hint="eastAsia" w:ascii="仿宋_GB2312" w:hAnsi="仿宋_GB2312" w:eastAsia="仿宋_GB2312" w:cs="仿宋_GB2312"/>
          <w:color w:val="auto"/>
          <w:w w:val="95"/>
          <w:sz w:val="32"/>
          <w:szCs w:val="32"/>
          <w:highlight w:val="none"/>
          <w:lang w:val="en-US" w:eastAsia="zh-CN"/>
        </w:rPr>
        <w:t>2022年5月7日</w:t>
      </w:r>
    </w:p>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baseline"/>
        <w:outlineLvl w:val="9"/>
        <w:rPr>
          <w:rStyle w:val="10"/>
          <w:rFonts w:ascii="方正小标宋简体" w:hAnsi="方正小标宋简体" w:eastAsia="方正小标宋简体"/>
          <w:b w:val="0"/>
          <w:i w:val="0"/>
          <w:caps w:val="0"/>
          <w:spacing w:val="0"/>
          <w:w w:val="100"/>
          <w:kern w:val="2"/>
          <w:sz w:val="44"/>
          <w:szCs w:val="44"/>
          <w:lang w:val="en-US" w:eastAsia="zh-CN" w:bidi="ar-SA"/>
        </w:rPr>
      </w:pPr>
      <w:r>
        <w:rPr>
          <w:rStyle w:val="10"/>
          <w:rFonts w:ascii="方正小标宋简体" w:hAnsi="方正小标宋简体" w:eastAsia="方正小标宋简体"/>
          <w:b w:val="0"/>
          <w:i w:val="0"/>
          <w:caps w:val="0"/>
          <w:spacing w:val="0"/>
          <w:w w:val="100"/>
          <w:kern w:val="2"/>
          <w:sz w:val="44"/>
          <w:szCs w:val="44"/>
          <w:lang w:val="en-US" w:eastAsia="zh-CN" w:bidi="ar-SA"/>
        </w:rPr>
        <w:t>关于进一步规范房屋建筑</w:t>
      </w:r>
      <w:bookmarkStart w:id="0" w:name="_GoBack"/>
      <w:bookmarkEnd w:id="0"/>
      <w:r>
        <w:rPr>
          <w:rStyle w:val="10"/>
          <w:rFonts w:ascii="方正小标宋简体" w:hAnsi="方正小标宋简体" w:eastAsia="方正小标宋简体"/>
          <w:b w:val="0"/>
          <w:i w:val="0"/>
          <w:caps w:val="0"/>
          <w:spacing w:val="0"/>
          <w:w w:val="100"/>
          <w:kern w:val="2"/>
          <w:sz w:val="44"/>
          <w:szCs w:val="44"/>
          <w:lang w:val="en-US" w:eastAsia="zh-CN" w:bidi="ar-SA"/>
        </w:rPr>
        <w:t>和市政基础设施工程招投标“评定分离”定标工作的措施</w:t>
      </w:r>
    </w:p>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both"/>
        <w:textAlignment w:val="baseline"/>
        <w:outlineLvl w:val="9"/>
        <w:rPr>
          <w:rStyle w:val="10"/>
          <w:rFonts w:ascii="仿宋_GB2312" w:hAnsi="仿宋_GB2312" w:eastAsia="仿宋_GB2312"/>
          <w:b w:val="0"/>
          <w:i w:val="0"/>
          <w:caps w:val="0"/>
          <w:spacing w:val="0"/>
          <w:w w:val="100"/>
          <w:kern w:val="2"/>
          <w:sz w:val="32"/>
          <w:szCs w:val="32"/>
          <w:lang w:val="en-US" w:eastAsia="zh-CN" w:bidi="ar-SA"/>
        </w:rPr>
      </w:pPr>
    </w:p>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outlineLvl w:val="9"/>
        <w:rPr>
          <w:rStyle w:val="10"/>
          <w:rFonts w:ascii="仿宋_GB2312" w:hAnsi="仿宋_GB2312" w:eastAsia="仿宋_GB2312"/>
          <w:b w:val="0"/>
          <w:i w:val="0"/>
          <w:caps w:val="0"/>
          <w:spacing w:val="0"/>
          <w:w w:val="100"/>
          <w:kern w:val="2"/>
          <w:sz w:val="32"/>
          <w:szCs w:val="32"/>
          <w:lang w:val="en-US" w:eastAsia="zh-CN" w:bidi="ar-SA"/>
        </w:rPr>
      </w:pPr>
      <w:r>
        <w:rPr>
          <w:rStyle w:val="10"/>
          <w:rFonts w:ascii="仿宋_GB2312" w:hAnsi="仿宋_GB2312" w:eastAsia="仿宋_GB2312"/>
          <w:b w:val="0"/>
          <w:i w:val="0"/>
          <w:caps w:val="0"/>
          <w:spacing w:val="0"/>
          <w:w w:val="100"/>
          <w:kern w:val="2"/>
          <w:sz w:val="32"/>
          <w:szCs w:val="32"/>
          <w:lang w:val="en-US" w:eastAsia="zh-CN" w:bidi="ar-SA"/>
        </w:rPr>
        <w:t>为</w:t>
      </w:r>
      <w:r>
        <w:rPr>
          <w:rFonts w:hint="eastAsia" w:ascii="仿宋_GB2312" w:hAnsi="仿宋_GB2312" w:eastAsia="仿宋_GB2312" w:cs="仿宋_GB2312"/>
          <w:sz w:val="32"/>
          <w:szCs w:val="32"/>
          <w:highlight w:val="none"/>
          <w:lang w:eastAsia="zh-CN"/>
        </w:rPr>
        <w:t>贯彻落实《恩施州人民政府关于加强全州政府投资项目管理和完善公共资源交易工作措施》和</w:t>
      </w:r>
      <w:r>
        <w:rPr>
          <w:rStyle w:val="10"/>
          <w:rFonts w:ascii="仿宋_GB2312" w:hAnsi="仿宋_GB2312" w:eastAsia="仿宋_GB2312"/>
          <w:b w:val="0"/>
          <w:i w:val="0"/>
          <w:caps w:val="0"/>
          <w:spacing w:val="0"/>
          <w:w w:val="100"/>
          <w:kern w:val="2"/>
          <w:sz w:val="32"/>
          <w:szCs w:val="32"/>
          <w:lang w:val="en-US" w:eastAsia="zh-CN" w:bidi="ar-SA"/>
        </w:rPr>
        <w:t>《湖北省房屋建筑和市政基础设施工程招标投标“评定分离”改革试点工作指导意见》</w:t>
      </w:r>
      <w:r>
        <w:rPr>
          <w:rFonts w:hint="eastAsia" w:ascii="仿宋_GB2312" w:hAnsi="仿宋_GB2312" w:eastAsia="仿宋_GB2312" w:cs="仿宋_GB2312"/>
          <w:sz w:val="32"/>
          <w:szCs w:val="32"/>
          <w:highlight w:val="none"/>
          <w:lang w:eastAsia="zh-CN"/>
        </w:rPr>
        <w:t>，</w:t>
      </w:r>
      <w:r>
        <w:rPr>
          <w:rStyle w:val="10"/>
          <w:rFonts w:ascii="仿宋_GB2312" w:hAnsi="仿宋_GB2312" w:eastAsia="仿宋_GB2312"/>
          <w:b w:val="0"/>
          <w:i w:val="0"/>
          <w:caps w:val="0"/>
          <w:spacing w:val="0"/>
          <w:w w:val="100"/>
          <w:kern w:val="2"/>
          <w:sz w:val="32"/>
          <w:szCs w:val="32"/>
          <w:lang w:val="en-US" w:eastAsia="zh-CN" w:bidi="ar-SA"/>
        </w:rPr>
        <w:t>进一步规范我州房屋建筑和市政基础设施工程招标投标“评定分离”定标工作，制定</w:t>
      </w:r>
      <w:r>
        <w:rPr>
          <w:rStyle w:val="10"/>
          <w:rFonts w:hint="eastAsia" w:ascii="仿宋_GB2312" w:hAnsi="仿宋_GB2312" w:eastAsia="仿宋_GB2312"/>
          <w:b w:val="0"/>
          <w:i w:val="0"/>
          <w:caps w:val="0"/>
          <w:spacing w:val="0"/>
          <w:w w:val="100"/>
          <w:kern w:val="2"/>
          <w:sz w:val="32"/>
          <w:szCs w:val="32"/>
          <w:lang w:val="en-US" w:eastAsia="zh-CN" w:bidi="ar-SA"/>
        </w:rPr>
        <w:t>以</w:t>
      </w:r>
      <w:r>
        <w:rPr>
          <w:rStyle w:val="10"/>
          <w:rFonts w:ascii="仿宋_GB2312" w:hAnsi="仿宋_GB2312" w:eastAsia="仿宋_GB2312"/>
          <w:b w:val="0"/>
          <w:i w:val="0"/>
          <w:caps w:val="0"/>
          <w:spacing w:val="0"/>
          <w:w w:val="100"/>
          <w:kern w:val="2"/>
          <w:sz w:val="32"/>
          <w:szCs w:val="32"/>
          <w:lang w:val="en-US" w:eastAsia="zh-CN" w:bidi="ar-SA"/>
        </w:rPr>
        <w:t>下措施：</w:t>
      </w:r>
    </w:p>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outlineLvl w:val="9"/>
        <w:rPr>
          <w:rStyle w:val="10"/>
          <w:rFonts w:ascii="黑体" w:hAnsi="黑体" w:eastAsia="黑体"/>
          <w:b w:val="0"/>
          <w:i w:val="0"/>
          <w:caps w:val="0"/>
          <w:spacing w:val="0"/>
          <w:w w:val="100"/>
          <w:kern w:val="2"/>
          <w:sz w:val="32"/>
          <w:szCs w:val="32"/>
          <w:lang w:val="en-US" w:eastAsia="zh-CN" w:bidi="ar-SA"/>
        </w:rPr>
      </w:pPr>
      <w:r>
        <w:rPr>
          <w:rStyle w:val="10"/>
          <w:rFonts w:ascii="黑体" w:hAnsi="黑体" w:eastAsia="黑体"/>
          <w:b w:val="0"/>
          <w:i w:val="0"/>
          <w:caps w:val="0"/>
          <w:spacing w:val="0"/>
          <w:w w:val="100"/>
          <w:kern w:val="2"/>
          <w:sz w:val="32"/>
          <w:szCs w:val="32"/>
          <w:lang w:val="en-US" w:eastAsia="zh-CN" w:bidi="ar-SA"/>
        </w:rPr>
        <w:t>一、科学组建定标委员会</w:t>
      </w:r>
    </w:p>
    <w:p>
      <w:pPr>
        <w:pStyle w:val="11"/>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baseline"/>
        <w:outlineLvl w:val="9"/>
        <w:rPr>
          <w:rStyle w:val="10"/>
          <w:rFonts w:ascii="仿宋_GB2312" w:hAnsi="仿宋_GB2312" w:eastAsia="仿宋_GB2312"/>
          <w:b w:val="0"/>
          <w:i w:val="0"/>
          <w:caps w:val="0"/>
          <w:color w:val="000000"/>
          <w:spacing w:val="0"/>
          <w:w w:val="100"/>
          <w:kern w:val="2"/>
          <w:sz w:val="32"/>
          <w:szCs w:val="32"/>
          <w:lang w:val="en-US" w:eastAsia="zh-CN" w:bidi="ar-SA"/>
        </w:rPr>
      </w:pPr>
      <w:r>
        <w:rPr>
          <w:rStyle w:val="10"/>
          <w:rFonts w:ascii="仿宋_GB2312" w:hAnsi="仿宋_GB2312" w:eastAsia="仿宋_GB2312"/>
          <w:b w:val="0"/>
          <w:i w:val="0"/>
          <w:caps w:val="0"/>
          <w:color w:val="000000"/>
          <w:spacing w:val="0"/>
          <w:w w:val="100"/>
          <w:kern w:val="2"/>
          <w:sz w:val="32"/>
          <w:szCs w:val="32"/>
          <w:lang w:val="en-US" w:eastAsia="zh-CN" w:bidi="ar-SA"/>
        </w:rPr>
        <w:t>1.定标委员会实行招标人负责制，由招标人的主要负责人负责组建和管理，其职责是根据评标委员会的评标报告，综合考虑技术、信用、招标人的清标和前期考察结果等因素，按照招标文件规定的定标程序和规则，从评标委员会推荐的候选人中择优确定中标人。</w:t>
      </w:r>
    </w:p>
    <w:p>
      <w:pPr>
        <w:pStyle w:val="11"/>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baseline"/>
        <w:outlineLvl w:val="9"/>
        <w:rPr>
          <w:rStyle w:val="10"/>
          <w:rFonts w:ascii="仿宋_GB2312" w:hAnsi="仿宋_GB2312" w:eastAsia="仿宋_GB2312"/>
          <w:b w:val="0"/>
          <w:i w:val="0"/>
          <w:caps w:val="0"/>
          <w:color w:val="000000"/>
          <w:spacing w:val="0"/>
          <w:w w:val="100"/>
          <w:kern w:val="2"/>
          <w:sz w:val="32"/>
          <w:szCs w:val="32"/>
          <w:lang w:val="en-US" w:eastAsia="zh-CN" w:bidi="ar-SA"/>
        </w:rPr>
      </w:pPr>
      <w:r>
        <w:rPr>
          <w:rStyle w:val="10"/>
          <w:rFonts w:ascii="仿宋_GB2312" w:hAnsi="仿宋_GB2312" w:eastAsia="仿宋_GB2312"/>
          <w:b w:val="0"/>
          <w:i w:val="0"/>
          <w:caps w:val="0"/>
          <w:color w:val="000000"/>
          <w:spacing w:val="0"/>
          <w:w w:val="100"/>
          <w:kern w:val="2"/>
          <w:sz w:val="32"/>
          <w:szCs w:val="32"/>
          <w:lang w:val="en-US" w:eastAsia="zh-CN" w:bidi="ar-SA"/>
        </w:rPr>
        <w:t>2.</w:t>
      </w:r>
      <w:r>
        <w:rPr>
          <w:rStyle w:val="10"/>
          <w:rFonts w:ascii="仿宋_GB2312" w:hAnsi="仿宋_GB2312" w:eastAsia="仿宋_GB2312"/>
          <w:b w:val="0"/>
          <w:i w:val="0"/>
          <w:caps w:val="0"/>
          <w:color w:val="000000"/>
          <w:spacing w:val="0"/>
          <w:w w:val="100"/>
          <w:kern w:val="2"/>
          <w:sz w:val="32"/>
          <w:szCs w:val="32"/>
          <w:highlight w:val="none"/>
          <w:lang w:val="en-US" w:eastAsia="zh-CN" w:bidi="ar-SA"/>
        </w:rPr>
        <w:t>定标委员会组长</w:t>
      </w:r>
      <w:r>
        <w:rPr>
          <w:rStyle w:val="10"/>
          <w:rFonts w:ascii="仿宋_GB2312" w:hAnsi="仿宋_GB2312" w:eastAsia="仿宋_GB2312"/>
          <w:b w:val="0"/>
          <w:i w:val="0"/>
          <w:caps w:val="0"/>
          <w:spacing w:val="0"/>
          <w:w w:val="100"/>
          <w:kern w:val="2"/>
          <w:sz w:val="32"/>
          <w:szCs w:val="32"/>
          <w:highlight w:val="none"/>
          <w:lang w:val="en-US" w:eastAsia="zh-CN" w:bidi="ar-SA"/>
        </w:rPr>
        <w:t>由招标人的主要负责人担任，</w:t>
      </w:r>
      <w:r>
        <w:rPr>
          <w:rStyle w:val="10"/>
          <w:rFonts w:ascii="仿宋_GB2312" w:hAnsi="仿宋_GB2312" w:eastAsia="仿宋_GB2312"/>
          <w:b w:val="0"/>
          <w:i w:val="0"/>
          <w:caps w:val="0"/>
          <w:color w:val="000000"/>
          <w:spacing w:val="0"/>
          <w:w w:val="100"/>
          <w:kern w:val="2"/>
          <w:sz w:val="32"/>
          <w:szCs w:val="32"/>
          <w:lang w:val="en-US" w:eastAsia="zh-CN" w:bidi="ar-SA"/>
        </w:rPr>
        <w:t>其他成员原则上从领导班子成员、经营管理人员、经济技术人员中产生，如定标成员在数量上或技术、专业等方面无法满足招标项目定标实际需要，可由招标人外聘与招标项目相匹配的技术、专业等方面专家参与定标，招标人对外聘人员的定标行为负责。定标委员会名单在中标结果公告前应当保密。</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outlineLvl w:val="9"/>
        <w:rPr>
          <w:rStyle w:val="10"/>
          <w:rFonts w:ascii="黑体" w:hAnsi="黑体" w:eastAsia="黑体"/>
          <w:b w:val="0"/>
          <w:i w:val="0"/>
          <w:caps w:val="0"/>
          <w:spacing w:val="0"/>
          <w:w w:val="100"/>
          <w:kern w:val="2"/>
          <w:sz w:val="32"/>
          <w:szCs w:val="32"/>
          <w:lang w:val="en-US" w:eastAsia="zh-CN" w:bidi="ar-SA"/>
        </w:rPr>
      </w:pPr>
      <w:r>
        <w:rPr>
          <w:rStyle w:val="10"/>
          <w:rFonts w:ascii="黑体" w:hAnsi="黑体" w:eastAsia="黑体"/>
          <w:b w:val="0"/>
          <w:i w:val="0"/>
          <w:caps w:val="0"/>
          <w:spacing w:val="0"/>
          <w:w w:val="100"/>
          <w:kern w:val="2"/>
          <w:sz w:val="32"/>
          <w:szCs w:val="32"/>
          <w:lang w:val="en-US" w:eastAsia="zh-CN" w:bidi="ar-SA"/>
        </w:rPr>
        <w:t>二、合理确定定标方式</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outlineLvl w:val="9"/>
        <w:rPr>
          <w:rStyle w:val="10"/>
          <w:rFonts w:hint="eastAsia" w:ascii="仿宋_GB2312" w:hAnsi="仿宋_GB2312" w:eastAsia="仿宋_GB2312"/>
          <w:b w:val="0"/>
          <w:i w:val="0"/>
          <w:caps w:val="0"/>
          <w:color w:val="000000"/>
          <w:spacing w:val="0"/>
          <w:w w:val="100"/>
          <w:kern w:val="2"/>
          <w:sz w:val="32"/>
          <w:szCs w:val="32"/>
          <w:lang w:val="en-US" w:eastAsia="zh-CN" w:bidi="ar-SA"/>
        </w:rPr>
      </w:pPr>
      <w:r>
        <w:rPr>
          <w:rStyle w:val="10"/>
          <w:rFonts w:hint="eastAsia" w:ascii="仿宋_GB2312" w:hAnsi="仿宋_GB2312" w:eastAsia="仿宋_GB2312"/>
          <w:b w:val="0"/>
          <w:i w:val="0"/>
          <w:caps w:val="0"/>
          <w:color w:val="000000"/>
          <w:spacing w:val="0"/>
          <w:w w:val="100"/>
          <w:kern w:val="2"/>
          <w:sz w:val="32"/>
          <w:szCs w:val="32"/>
          <w:lang w:val="en-US" w:eastAsia="zh-CN" w:bidi="ar-SA"/>
        </w:rPr>
        <w:t>3</w:t>
      </w:r>
      <w:r>
        <w:rPr>
          <w:rStyle w:val="10"/>
          <w:rFonts w:ascii="仿宋_GB2312" w:hAnsi="仿宋_GB2312" w:eastAsia="仿宋_GB2312"/>
          <w:b w:val="0"/>
          <w:i w:val="0"/>
          <w:caps w:val="0"/>
          <w:color w:val="000000"/>
          <w:spacing w:val="0"/>
          <w:w w:val="100"/>
          <w:kern w:val="2"/>
          <w:sz w:val="32"/>
          <w:szCs w:val="32"/>
          <w:lang w:val="en-US" w:eastAsia="zh-CN" w:bidi="ar-SA"/>
        </w:rPr>
        <w:t>.招标人按照“评定分离”改革相关文件要求，自行选择定标方式，</w:t>
      </w:r>
      <w:r>
        <w:rPr>
          <w:rStyle w:val="10"/>
          <w:rFonts w:hint="eastAsia" w:ascii="仿宋_GB2312" w:hAnsi="仿宋_GB2312" w:eastAsia="仿宋_GB2312"/>
          <w:b w:val="0"/>
          <w:i w:val="0"/>
          <w:caps w:val="0"/>
          <w:color w:val="000000"/>
          <w:spacing w:val="0"/>
          <w:w w:val="100"/>
          <w:kern w:val="2"/>
          <w:sz w:val="32"/>
          <w:szCs w:val="32"/>
          <w:lang w:val="en-US" w:eastAsia="zh-CN" w:bidi="ar-SA"/>
        </w:rPr>
        <w:t>具体</w:t>
      </w:r>
      <w:r>
        <w:rPr>
          <w:rStyle w:val="10"/>
          <w:rFonts w:ascii="仿宋_GB2312" w:hAnsi="仿宋_GB2312" w:eastAsia="仿宋_GB2312"/>
          <w:b w:val="0"/>
          <w:i w:val="0"/>
          <w:caps w:val="0"/>
          <w:color w:val="000000"/>
          <w:spacing w:val="0"/>
          <w:w w:val="100"/>
          <w:kern w:val="2"/>
          <w:sz w:val="32"/>
          <w:szCs w:val="32"/>
          <w:lang w:val="en-US" w:eastAsia="zh-CN" w:bidi="ar-SA"/>
        </w:rPr>
        <w:t>定标方式必须在招标文件中予以明确</w:t>
      </w:r>
      <w:r>
        <w:rPr>
          <w:rStyle w:val="10"/>
          <w:rFonts w:hint="eastAsia" w:ascii="仿宋_GB2312" w:hAnsi="仿宋_GB2312" w:eastAsia="仿宋_GB2312"/>
          <w:b w:val="0"/>
          <w:i w:val="0"/>
          <w:caps w:val="0"/>
          <w:color w:val="000000"/>
          <w:spacing w:val="0"/>
          <w:w w:val="100"/>
          <w:kern w:val="2"/>
          <w:sz w:val="32"/>
          <w:szCs w:val="32"/>
          <w:lang w:val="en-US" w:eastAsia="zh-CN" w:bidi="ar-SA"/>
        </w:rPr>
        <w:t>。在选取定标方法时，应当做到实力优先、利润合理，防止不合理低价中标。</w:t>
      </w:r>
    </w:p>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outlineLvl w:val="9"/>
        <w:rPr>
          <w:rStyle w:val="10"/>
          <w:rFonts w:ascii="仿宋_GB2312" w:hAnsi="仿宋_GB2312" w:eastAsia="仿宋_GB2312"/>
          <w:b w:val="0"/>
          <w:i w:val="0"/>
          <w:caps w:val="0"/>
          <w:color w:val="000000"/>
          <w:spacing w:val="0"/>
          <w:w w:val="100"/>
          <w:kern w:val="2"/>
          <w:sz w:val="32"/>
          <w:szCs w:val="32"/>
          <w:highlight w:val="none"/>
          <w:lang w:val="en-US" w:eastAsia="zh-CN" w:bidi="ar-SA"/>
        </w:rPr>
      </w:pPr>
      <w:r>
        <w:rPr>
          <w:rStyle w:val="10"/>
          <w:rFonts w:ascii="黑体" w:hAnsi="黑体" w:eastAsia="黑体"/>
          <w:b w:val="0"/>
          <w:i w:val="0"/>
          <w:caps w:val="0"/>
          <w:spacing w:val="0"/>
          <w:w w:val="100"/>
          <w:kern w:val="2"/>
          <w:sz w:val="32"/>
          <w:szCs w:val="32"/>
          <w:highlight w:val="none"/>
          <w:lang w:val="en-US" w:eastAsia="zh-CN" w:bidi="ar-SA"/>
        </w:rPr>
        <w:t>三、规范定标工作程序</w:t>
      </w:r>
    </w:p>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outlineLvl w:val="9"/>
        <w:rPr>
          <w:rStyle w:val="10"/>
          <w:rFonts w:ascii="仿宋_GB2312" w:hAnsi="仿宋_GB2312" w:eastAsia="仿宋_GB2312"/>
          <w:b w:val="0"/>
          <w:i w:val="0"/>
          <w:caps w:val="0"/>
          <w:color w:val="000000"/>
          <w:spacing w:val="0"/>
          <w:w w:val="100"/>
          <w:kern w:val="2"/>
          <w:sz w:val="32"/>
          <w:szCs w:val="32"/>
          <w:highlight w:val="none"/>
          <w:lang w:val="en-US" w:eastAsia="zh-CN" w:bidi="ar-SA"/>
        </w:rPr>
      </w:pPr>
      <w:r>
        <w:rPr>
          <w:rStyle w:val="10"/>
          <w:rFonts w:hint="eastAsia" w:ascii="仿宋_GB2312" w:hAnsi="仿宋_GB2312" w:eastAsia="仿宋_GB2312"/>
          <w:b w:val="0"/>
          <w:i w:val="0"/>
          <w:caps w:val="0"/>
          <w:color w:val="000000"/>
          <w:spacing w:val="0"/>
          <w:w w:val="100"/>
          <w:kern w:val="2"/>
          <w:sz w:val="32"/>
          <w:szCs w:val="32"/>
          <w:highlight w:val="none"/>
          <w:lang w:val="en-US" w:eastAsia="zh-CN" w:bidi="ar-SA"/>
        </w:rPr>
        <w:t>4</w:t>
      </w:r>
      <w:r>
        <w:rPr>
          <w:rStyle w:val="10"/>
          <w:rFonts w:ascii="仿宋_GB2312" w:hAnsi="仿宋_GB2312" w:eastAsia="仿宋_GB2312"/>
          <w:b w:val="0"/>
          <w:i w:val="0"/>
          <w:caps w:val="0"/>
          <w:color w:val="000000"/>
          <w:spacing w:val="0"/>
          <w:w w:val="100"/>
          <w:kern w:val="2"/>
          <w:sz w:val="32"/>
          <w:szCs w:val="32"/>
          <w:highlight w:val="none"/>
          <w:lang w:val="en-US" w:eastAsia="zh-CN" w:bidi="ar-SA"/>
        </w:rPr>
        <w:t>.招标人应组建不少于3人的定标监督小组，对定标委员会的组建、定标过程及招标人在定标前的清标环节和对中标候选人的考察等进行全程监督。</w:t>
      </w:r>
    </w:p>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outlineLvl w:val="9"/>
        <w:rPr>
          <w:rStyle w:val="10"/>
          <w:rFonts w:ascii="仿宋_GB2312" w:hAnsi="仿宋_GB2312" w:eastAsia="仿宋_GB2312"/>
          <w:b w:val="0"/>
          <w:i w:val="0"/>
          <w:caps w:val="0"/>
          <w:color w:val="000000"/>
          <w:spacing w:val="0"/>
          <w:w w:val="100"/>
          <w:kern w:val="2"/>
          <w:sz w:val="32"/>
          <w:szCs w:val="32"/>
          <w:highlight w:val="none"/>
          <w:lang w:val="en-US" w:eastAsia="zh-CN" w:bidi="ar-SA"/>
        </w:rPr>
      </w:pPr>
      <w:r>
        <w:rPr>
          <w:rStyle w:val="10"/>
          <w:rFonts w:hint="eastAsia" w:ascii="仿宋_GB2312" w:hAnsi="仿宋_GB2312" w:eastAsia="仿宋_GB2312"/>
          <w:b w:val="0"/>
          <w:i w:val="0"/>
          <w:caps w:val="0"/>
          <w:color w:val="000000"/>
          <w:spacing w:val="0"/>
          <w:w w:val="100"/>
          <w:kern w:val="2"/>
          <w:sz w:val="32"/>
          <w:szCs w:val="32"/>
          <w:highlight w:val="none"/>
          <w:lang w:val="en-US" w:eastAsia="zh-CN" w:bidi="ar-SA"/>
        </w:rPr>
        <w:t>5</w:t>
      </w:r>
      <w:r>
        <w:rPr>
          <w:rStyle w:val="10"/>
          <w:rFonts w:ascii="仿宋_GB2312" w:hAnsi="仿宋_GB2312" w:eastAsia="仿宋_GB2312"/>
          <w:b w:val="0"/>
          <w:i w:val="0"/>
          <w:caps w:val="0"/>
          <w:color w:val="000000"/>
          <w:spacing w:val="0"/>
          <w:w w:val="100"/>
          <w:kern w:val="2"/>
          <w:sz w:val="32"/>
          <w:szCs w:val="32"/>
          <w:highlight w:val="none"/>
          <w:lang w:val="en-US" w:eastAsia="zh-CN" w:bidi="ar-SA"/>
        </w:rPr>
        <w:t>.定标前可进行清标与考察，招标人定标前需要开展清标与考察的，应当在招标文件中明确清标与考察的内容和方法，并出具清标和考察的书面报告</w:t>
      </w:r>
      <w:r>
        <w:rPr>
          <w:rStyle w:val="10"/>
          <w:rFonts w:hint="eastAsia" w:ascii="仿宋_GB2312" w:hAnsi="仿宋_GB2312" w:eastAsia="仿宋_GB2312"/>
          <w:b w:val="0"/>
          <w:i w:val="0"/>
          <w:caps w:val="0"/>
          <w:color w:val="000000"/>
          <w:spacing w:val="0"/>
          <w:w w:val="100"/>
          <w:kern w:val="2"/>
          <w:sz w:val="32"/>
          <w:szCs w:val="32"/>
          <w:highlight w:val="none"/>
          <w:lang w:val="en-US" w:eastAsia="zh-CN" w:bidi="ar-SA"/>
        </w:rPr>
        <w:t>，</w:t>
      </w:r>
      <w:r>
        <w:rPr>
          <w:rStyle w:val="10"/>
          <w:rFonts w:ascii="仿宋_GB2312" w:hAnsi="仿宋_GB2312" w:eastAsia="仿宋_GB2312"/>
          <w:b w:val="0"/>
          <w:i w:val="0"/>
          <w:caps w:val="0"/>
          <w:color w:val="000000"/>
          <w:spacing w:val="0"/>
          <w:w w:val="100"/>
          <w:kern w:val="2"/>
          <w:sz w:val="32"/>
          <w:szCs w:val="32"/>
          <w:highlight w:val="none"/>
          <w:lang w:val="en-US" w:eastAsia="zh-CN" w:bidi="ar-SA"/>
        </w:rPr>
        <w:t>提交定标委员会作为定标参考依据。招标人的清标和考察报告应当</w:t>
      </w:r>
      <w:r>
        <w:rPr>
          <w:rStyle w:val="10"/>
          <w:rFonts w:hint="eastAsia" w:ascii="仿宋_GB2312" w:hAnsi="仿宋_GB2312" w:eastAsia="仿宋_GB2312"/>
          <w:b w:val="0"/>
          <w:i w:val="0"/>
          <w:caps w:val="0"/>
          <w:color w:val="000000"/>
          <w:spacing w:val="0"/>
          <w:w w:val="100"/>
          <w:kern w:val="2"/>
          <w:sz w:val="32"/>
          <w:szCs w:val="32"/>
          <w:highlight w:val="none"/>
          <w:lang w:val="en-US" w:eastAsia="zh-CN" w:bidi="ar-SA"/>
        </w:rPr>
        <w:t>实事求是、</w:t>
      </w:r>
      <w:r>
        <w:rPr>
          <w:rStyle w:val="10"/>
          <w:rFonts w:ascii="仿宋_GB2312" w:hAnsi="仿宋_GB2312" w:eastAsia="仿宋_GB2312"/>
          <w:b w:val="0"/>
          <w:i w:val="0"/>
          <w:caps w:val="0"/>
          <w:color w:val="000000"/>
          <w:spacing w:val="0"/>
          <w:w w:val="100"/>
          <w:kern w:val="2"/>
          <w:sz w:val="32"/>
          <w:szCs w:val="32"/>
          <w:highlight w:val="none"/>
          <w:lang w:val="en-US" w:eastAsia="zh-CN" w:bidi="ar-SA"/>
        </w:rPr>
        <w:t>客观公正，不得有明示或暗示的倾向性意见。招标人</w:t>
      </w:r>
      <w:r>
        <w:rPr>
          <w:rStyle w:val="10"/>
          <w:rFonts w:hint="eastAsia" w:ascii="仿宋_GB2312" w:hAnsi="仿宋_GB2312" w:eastAsia="仿宋_GB2312"/>
          <w:b w:val="0"/>
          <w:i w:val="0"/>
          <w:caps w:val="0"/>
          <w:color w:val="000000"/>
          <w:spacing w:val="0"/>
          <w:w w:val="100"/>
          <w:kern w:val="2"/>
          <w:sz w:val="32"/>
          <w:szCs w:val="32"/>
          <w:highlight w:val="none"/>
          <w:lang w:val="en-US" w:eastAsia="zh-CN" w:bidi="ar-SA"/>
        </w:rPr>
        <w:t>需</w:t>
      </w:r>
      <w:r>
        <w:rPr>
          <w:rStyle w:val="10"/>
          <w:rFonts w:ascii="仿宋_GB2312" w:hAnsi="仿宋_GB2312" w:eastAsia="仿宋_GB2312"/>
          <w:b w:val="0"/>
          <w:i w:val="0"/>
          <w:caps w:val="0"/>
          <w:color w:val="000000"/>
          <w:spacing w:val="0"/>
          <w:w w:val="100"/>
          <w:kern w:val="2"/>
          <w:sz w:val="32"/>
          <w:szCs w:val="32"/>
          <w:highlight w:val="none"/>
          <w:lang w:val="en-US" w:eastAsia="zh-CN" w:bidi="ar-SA"/>
        </w:rPr>
        <w:t>组织考察的，应对所有中标候选人进行</w:t>
      </w:r>
      <w:r>
        <w:rPr>
          <w:rStyle w:val="10"/>
          <w:rFonts w:hint="eastAsia" w:ascii="仿宋_GB2312" w:hAnsi="仿宋_GB2312" w:eastAsia="仿宋_GB2312"/>
          <w:b w:val="0"/>
          <w:i w:val="0"/>
          <w:caps w:val="0"/>
          <w:color w:val="000000"/>
          <w:spacing w:val="0"/>
          <w:w w:val="100"/>
          <w:kern w:val="2"/>
          <w:sz w:val="32"/>
          <w:szCs w:val="32"/>
          <w:highlight w:val="none"/>
          <w:lang w:val="en-US" w:eastAsia="zh-CN" w:bidi="ar-SA"/>
        </w:rPr>
        <w:t>考察</w:t>
      </w:r>
      <w:r>
        <w:rPr>
          <w:rStyle w:val="10"/>
          <w:rFonts w:ascii="仿宋_GB2312" w:hAnsi="仿宋_GB2312" w:eastAsia="仿宋_GB2312"/>
          <w:b w:val="0"/>
          <w:i w:val="0"/>
          <w:caps w:val="0"/>
          <w:color w:val="000000"/>
          <w:spacing w:val="0"/>
          <w:w w:val="100"/>
          <w:kern w:val="2"/>
          <w:sz w:val="32"/>
          <w:szCs w:val="32"/>
          <w:highlight w:val="none"/>
          <w:lang w:val="en-US" w:eastAsia="zh-CN" w:bidi="ar-SA"/>
        </w:rPr>
        <w:t>，招标人在考察时不得与中标候选人就投标价格、投标方案等实质性内容进行谈判。</w:t>
      </w:r>
    </w:p>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outlineLvl w:val="9"/>
        <w:rPr>
          <w:rStyle w:val="10"/>
          <w:rFonts w:ascii="仿宋_GB2312" w:hAnsi="仿宋_GB2312" w:eastAsia="仿宋_GB2312"/>
          <w:b w:val="0"/>
          <w:i w:val="0"/>
          <w:caps w:val="0"/>
          <w:color w:val="000000"/>
          <w:spacing w:val="0"/>
          <w:w w:val="100"/>
          <w:kern w:val="2"/>
          <w:sz w:val="32"/>
          <w:szCs w:val="32"/>
          <w:highlight w:val="none"/>
          <w:lang w:val="en-US" w:eastAsia="zh-CN" w:bidi="ar-SA"/>
        </w:rPr>
      </w:pPr>
      <w:r>
        <w:rPr>
          <w:rStyle w:val="10"/>
          <w:rFonts w:hint="eastAsia" w:ascii="仿宋_GB2312" w:hAnsi="仿宋_GB2312" w:eastAsia="仿宋_GB2312"/>
          <w:b w:val="0"/>
          <w:i w:val="0"/>
          <w:caps w:val="0"/>
          <w:color w:val="000000"/>
          <w:spacing w:val="0"/>
          <w:w w:val="100"/>
          <w:kern w:val="2"/>
          <w:sz w:val="32"/>
          <w:szCs w:val="32"/>
          <w:highlight w:val="none"/>
          <w:lang w:val="en-US" w:eastAsia="zh-CN" w:bidi="ar-SA"/>
        </w:rPr>
        <w:t>6</w:t>
      </w:r>
      <w:r>
        <w:rPr>
          <w:rStyle w:val="10"/>
          <w:rFonts w:ascii="仿宋_GB2312" w:hAnsi="仿宋_GB2312" w:eastAsia="仿宋_GB2312"/>
          <w:b w:val="0"/>
          <w:i w:val="0"/>
          <w:caps w:val="0"/>
          <w:color w:val="000000"/>
          <w:spacing w:val="0"/>
          <w:w w:val="100"/>
          <w:kern w:val="2"/>
          <w:sz w:val="32"/>
          <w:szCs w:val="32"/>
          <w:highlight w:val="none"/>
          <w:lang w:val="en-US" w:eastAsia="zh-CN" w:bidi="ar-SA"/>
        </w:rPr>
        <w:t>.定标会议原则上应当在中标候选人公示期结束后次日召开。若需对中标候选人或拟派项目负责人进行考察</w:t>
      </w:r>
      <w:r>
        <w:rPr>
          <w:rStyle w:val="10"/>
          <w:rFonts w:hint="eastAsia" w:ascii="仿宋_GB2312" w:hAnsi="仿宋_GB2312" w:eastAsia="仿宋_GB2312"/>
          <w:b w:val="0"/>
          <w:i w:val="0"/>
          <w:caps w:val="0"/>
          <w:color w:val="000000"/>
          <w:spacing w:val="0"/>
          <w:w w:val="100"/>
          <w:kern w:val="2"/>
          <w:sz w:val="32"/>
          <w:szCs w:val="32"/>
          <w:highlight w:val="none"/>
          <w:lang w:val="en-US" w:eastAsia="zh-CN" w:bidi="ar-SA"/>
        </w:rPr>
        <w:t>的，定标会议可适当延期</w:t>
      </w:r>
      <w:r>
        <w:rPr>
          <w:rStyle w:val="10"/>
          <w:rFonts w:ascii="仿宋_GB2312" w:hAnsi="仿宋_GB2312" w:eastAsia="仿宋_GB2312"/>
          <w:b w:val="0"/>
          <w:i w:val="0"/>
          <w:caps w:val="0"/>
          <w:color w:val="000000"/>
          <w:spacing w:val="0"/>
          <w:w w:val="100"/>
          <w:kern w:val="2"/>
          <w:sz w:val="32"/>
          <w:szCs w:val="32"/>
          <w:highlight w:val="none"/>
          <w:lang w:val="en-US" w:eastAsia="zh-CN" w:bidi="ar-SA"/>
        </w:rPr>
        <w:t>，原则上在评标结束后的10日内召开。定标委员会应当按照招标文件规定的定标方法，在评标委员会推荐的中标候选人中择优确定中标人。定标委员会可以要求中标候选人拟派的项目负责人或技术负责人在定标会议现场进行答辩，但相关要求应在招标文件中明确。</w:t>
      </w:r>
    </w:p>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outlineLvl w:val="9"/>
        <w:rPr>
          <w:rStyle w:val="10"/>
          <w:rFonts w:ascii="仿宋_GB2312" w:hAnsi="仿宋_GB2312" w:eastAsia="仿宋_GB2312"/>
          <w:b w:val="0"/>
          <w:i w:val="0"/>
          <w:caps w:val="0"/>
          <w:color w:val="000000"/>
          <w:spacing w:val="0"/>
          <w:w w:val="100"/>
          <w:kern w:val="2"/>
          <w:sz w:val="32"/>
          <w:szCs w:val="32"/>
          <w:highlight w:val="none"/>
          <w:lang w:val="en-US" w:eastAsia="zh-CN" w:bidi="ar-SA"/>
        </w:rPr>
      </w:pPr>
      <w:r>
        <w:rPr>
          <w:rStyle w:val="10"/>
          <w:rFonts w:hint="eastAsia" w:ascii="仿宋_GB2312" w:hAnsi="仿宋_GB2312" w:eastAsia="仿宋_GB2312"/>
          <w:b w:val="0"/>
          <w:i w:val="0"/>
          <w:caps w:val="0"/>
          <w:color w:val="000000"/>
          <w:spacing w:val="0"/>
          <w:w w:val="100"/>
          <w:kern w:val="2"/>
          <w:sz w:val="32"/>
          <w:szCs w:val="32"/>
          <w:highlight w:val="none"/>
          <w:lang w:val="en-US" w:eastAsia="zh-CN" w:bidi="ar-SA"/>
        </w:rPr>
        <w:t>7</w:t>
      </w:r>
      <w:r>
        <w:rPr>
          <w:rStyle w:val="10"/>
          <w:rFonts w:ascii="仿宋_GB2312" w:hAnsi="仿宋_GB2312" w:eastAsia="仿宋_GB2312"/>
          <w:b w:val="0"/>
          <w:i w:val="0"/>
          <w:caps w:val="0"/>
          <w:color w:val="000000"/>
          <w:spacing w:val="0"/>
          <w:w w:val="100"/>
          <w:kern w:val="2"/>
          <w:sz w:val="32"/>
          <w:szCs w:val="32"/>
          <w:highlight w:val="none"/>
          <w:lang w:val="en-US" w:eastAsia="zh-CN" w:bidi="ar-SA"/>
        </w:rPr>
        <w:t>.招标人应当在定标工作完成后的3日内公告中标人。</w:t>
      </w:r>
    </w:p>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outlineLvl w:val="9"/>
        <w:rPr>
          <w:rStyle w:val="10"/>
          <w:rFonts w:ascii="黑体" w:hAnsi="黑体" w:eastAsia="黑体"/>
          <w:b w:val="0"/>
          <w:i w:val="0"/>
          <w:caps w:val="0"/>
          <w:spacing w:val="0"/>
          <w:w w:val="100"/>
          <w:kern w:val="2"/>
          <w:sz w:val="32"/>
          <w:szCs w:val="32"/>
          <w:highlight w:val="none"/>
          <w:lang w:val="en-US" w:eastAsia="zh-CN" w:bidi="ar-SA"/>
        </w:rPr>
      </w:pPr>
      <w:r>
        <w:rPr>
          <w:rStyle w:val="10"/>
          <w:rFonts w:ascii="黑体" w:hAnsi="黑体" w:eastAsia="黑体"/>
          <w:b w:val="0"/>
          <w:i w:val="0"/>
          <w:caps w:val="0"/>
          <w:spacing w:val="0"/>
          <w:w w:val="100"/>
          <w:kern w:val="2"/>
          <w:sz w:val="32"/>
          <w:szCs w:val="32"/>
          <w:highlight w:val="none"/>
          <w:lang w:val="en-US" w:eastAsia="zh-CN" w:bidi="ar-SA"/>
        </w:rPr>
        <w:t>四、严格定标工作纪律</w:t>
      </w:r>
    </w:p>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outlineLvl w:val="9"/>
        <w:rPr>
          <w:rStyle w:val="10"/>
          <w:rFonts w:ascii="仿宋_GB2312" w:hAnsi="仿宋_GB2312" w:eastAsia="仿宋_GB2312"/>
          <w:b w:val="0"/>
          <w:i w:val="0"/>
          <w:caps w:val="0"/>
          <w:spacing w:val="0"/>
          <w:w w:val="100"/>
          <w:kern w:val="2"/>
          <w:sz w:val="32"/>
          <w:szCs w:val="32"/>
          <w:highlight w:val="none"/>
          <w:lang w:val="en-US" w:eastAsia="zh-CN" w:bidi="ar-SA"/>
        </w:rPr>
      </w:pPr>
      <w:r>
        <w:rPr>
          <w:rStyle w:val="10"/>
          <w:rFonts w:hint="eastAsia" w:ascii="仿宋_GB2312" w:hAnsi="仿宋_GB2312" w:eastAsia="仿宋_GB2312"/>
          <w:b w:val="0"/>
          <w:i w:val="0"/>
          <w:caps w:val="0"/>
          <w:color w:val="000000"/>
          <w:spacing w:val="0"/>
          <w:w w:val="100"/>
          <w:kern w:val="2"/>
          <w:sz w:val="32"/>
          <w:szCs w:val="32"/>
          <w:highlight w:val="none"/>
          <w:lang w:val="en-US" w:eastAsia="zh-CN" w:bidi="ar-SA"/>
        </w:rPr>
        <w:t>8</w:t>
      </w:r>
      <w:r>
        <w:rPr>
          <w:rStyle w:val="10"/>
          <w:rFonts w:ascii="仿宋_GB2312" w:hAnsi="仿宋_GB2312" w:eastAsia="仿宋_GB2312"/>
          <w:b w:val="0"/>
          <w:i w:val="0"/>
          <w:caps w:val="0"/>
          <w:color w:val="000000"/>
          <w:spacing w:val="0"/>
          <w:w w:val="100"/>
          <w:kern w:val="2"/>
          <w:sz w:val="32"/>
          <w:szCs w:val="32"/>
          <w:highlight w:val="none"/>
          <w:lang w:val="en-US" w:eastAsia="zh-CN" w:bidi="ar-SA"/>
        </w:rPr>
        <w:t>.</w:t>
      </w:r>
      <w:r>
        <w:rPr>
          <w:rStyle w:val="10"/>
          <w:rFonts w:hint="eastAsia" w:ascii="仿宋_GB2312" w:hAnsi="仿宋_GB2312" w:eastAsia="仿宋_GB2312"/>
          <w:b w:val="0"/>
          <w:i w:val="0"/>
          <w:caps w:val="0"/>
          <w:color w:val="000000"/>
          <w:spacing w:val="0"/>
          <w:w w:val="100"/>
          <w:kern w:val="2"/>
          <w:sz w:val="32"/>
          <w:szCs w:val="32"/>
          <w:highlight w:val="none"/>
          <w:lang w:val="en-US" w:eastAsia="zh-CN" w:bidi="ar-SA"/>
        </w:rPr>
        <w:t>不得</w:t>
      </w:r>
      <w:r>
        <w:rPr>
          <w:rStyle w:val="10"/>
          <w:rFonts w:ascii="仿宋_GB2312" w:hAnsi="仿宋_GB2312" w:eastAsia="仿宋_GB2312"/>
          <w:b w:val="0"/>
          <w:i w:val="0"/>
          <w:caps w:val="0"/>
          <w:color w:val="000000"/>
          <w:spacing w:val="0"/>
          <w:w w:val="100"/>
          <w:kern w:val="2"/>
          <w:sz w:val="32"/>
          <w:szCs w:val="32"/>
          <w:highlight w:val="none"/>
          <w:lang w:val="en-US" w:eastAsia="zh-CN" w:bidi="ar-SA"/>
        </w:rPr>
        <w:t>对中标候选人按分数高低进行排名。凡泄露中标候选人在评标环节中的得分及排名情况的人员，一经发现，按泄密问题处理，启动追责问责机制。</w:t>
      </w:r>
    </w:p>
    <w:p>
      <w:pPr>
        <w:pStyle w:val="11"/>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baseline"/>
        <w:outlineLvl w:val="9"/>
        <w:rPr>
          <w:rStyle w:val="10"/>
          <w:rFonts w:ascii="仿宋_GB2312" w:hAnsi="仿宋_GB2312" w:eastAsia="仿宋_GB2312"/>
          <w:b w:val="0"/>
          <w:i w:val="0"/>
          <w:caps w:val="0"/>
          <w:color w:val="000000"/>
          <w:spacing w:val="0"/>
          <w:w w:val="100"/>
          <w:kern w:val="0"/>
          <w:sz w:val="32"/>
          <w:szCs w:val="32"/>
          <w:lang w:val="en-US" w:eastAsia="zh-CN" w:bidi="ar-SA"/>
        </w:rPr>
      </w:pPr>
      <w:r>
        <w:rPr>
          <w:rStyle w:val="10"/>
          <w:rFonts w:hint="eastAsia" w:ascii="仿宋_GB2312" w:hAnsi="仿宋_GB2312" w:eastAsia="仿宋_GB2312"/>
          <w:b w:val="0"/>
          <w:i w:val="0"/>
          <w:caps w:val="0"/>
          <w:color w:val="000000"/>
          <w:spacing w:val="0"/>
          <w:w w:val="100"/>
          <w:kern w:val="0"/>
          <w:sz w:val="32"/>
          <w:szCs w:val="32"/>
          <w:highlight w:val="none"/>
          <w:lang w:val="en-US" w:eastAsia="zh-CN" w:bidi="ar-SA"/>
        </w:rPr>
        <w:t>9</w:t>
      </w:r>
      <w:r>
        <w:rPr>
          <w:rStyle w:val="10"/>
          <w:rFonts w:ascii="仿宋_GB2312" w:hAnsi="仿宋_GB2312" w:eastAsia="仿宋_GB2312"/>
          <w:b w:val="0"/>
          <w:i w:val="0"/>
          <w:caps w:val="0"/>
          <w:color w:val="000000"/>
          <w:spacing w:val="0"/>
          <w:w w:val="100"/>
          <w:kern w:val="0"/>
          <w:sz w:val="32"/>
          <w:szCs w:val="32"/>
          <w:highlight w:val="none"/>
          <w:lang w:val="en-US" w:eastAsia="zh-CN" w:bidi="ar-SA"/>
        </w:rPr>
        <w:t>.招标人主要负责人对招标过程和招标结果承担</w:t>
      </w:r>
      <w:r>
        <w:rPr>
          <w:rStyle w:val="10"/>
          <w:rFonts w:hint="eastAsia" w:ascii="仿宋_GB2312" w:hAnsi="仿宋_GB2312" w:eastAsia="仿宋_GB2312"/>
          <w:b w:val="0"/>
          <w:i w:val="0"/>
          <w:caps w:val="0"/>
          <w:color w:val="000000"/>
          <w:spacing w:val="0"/>
          <w:w w:val="100"/>
          <w:kern w:val="0"/>
          <w:sz w:val="32"/>
          <w:szCs w:val="32"/>
          <w:highlight w:val="none"/>
          <w:lang w:val="en-US" w:eastAsia="zh-CN" w:bidi="ar-SA"/>
        </w:rPr>
        <w:t>“</w:t>
      </w:r>
      <w:r>
        <w:rPr>
          <w:rStyle w:val="10"/>
          <w:rFonts w:ascii="仿宋_GB2312" w:hAnsi="仿宋_GB2312" w:eastAsia="仿宋_GB2312"/>
          <w:b w:val="0"/>
          <w:i w:val="0"/>
          <w:caps w:val="0"/>
          <w:color w:val="000000"/>
          <w:spacing w:val="0"/>
          <w:w w:val="100"/>
          <w:kern w:val="0"/>
          <w:sz w:val="32"/>
          <w:szCs w:val="32"/>
          <w:highlight w:val="none"/>
          <w:lang w:val="en-US" w:eastAsia="zh-CN" w:bidi="ar-SA"/>
        </w:rPr>
        <w:t>第一责任人</w:t>
      </w:r>
      <w:r>
        <w:rPr>
          <w:rStyle w:val="10"/>
          <w:rFonts w:hint="eastAsia" w:ascii="仿宋_GB2312" w:hAnsi="仿宋_GB2312" w:eastAsia="仿宋_GB2312"/>
          <w:b w:val="0"/>
          <w:i w:val="0"/>
          <w:caps w:val="0"/>
          <w:color w:val="000000"/>
          <w:spacing w:val="0"/>
          <w:w w:val="100"/>
          <w:kern w:val="0"/>
          <w:sz w:val="32"/>
          <w:szCs w:val="32"/>
          <w:highlight w:val="none"/>
          <w:lang w:val="en-US" w:eastAsia="zh-CN" w:bidi="ar-SA"/>
        </w:rPr>
        <w:t>”</w:t>
      </w:r>
      <w:r>
        <w:rPr>
          <w:rStyle w:val="10"/>
          <w:rFonts w:ascii="仿宋_GB2312" w:hAnsi="仿宋_GB2312" w:eastAsia="仿宋_GB2312"/>
          <w:b w:val="0"/>
          <w:i w:val="0"/>
          <w:caps w:val="0"/>
          <w:color w:val="000000"/>
          <w:spacing w:val="0"/>
          <w:w w:val="100"/>
          <w:kern w:val="0"/>
          <w:sz w:val="32"/>
          <w:szCs w:val="32"/>
          <w:highlight w:val="none"/>
          <w:lang w:val="en-US" w:eastAsia="zh-CN" w:bidi="ar-SA"/>
        </w:rPr>
        <w:t>责任。招标人应当严格执行招标投标有关法律法规，加强对招标公告、资格预审文件、招标文件、评标、定标等招标投</w:t>
      </w:r>
      <w:r>
        <w:rPr>
          <w:rStyle w:val="10"/>
          <w:rFonts w:ascii="仿宋_GB2312" w:hAnsi="仿宋_GB2312" w:eastAsia="仿宋_GB2312"/>
          <w:b w:val="0"/>
          <w:i w:val="0"/>
          <w:caps w:val="0"/>
          <w:color w:val="000000"/>
          <w:spacing w:val="0"/>
          <w:w w:val="100"/>
          <w:kern w:val="0"/>
          <w:sz w:val="32"/>
          <w:szCs w:val="32"/>
          <w:lang w:val="en-US" w:eastAsia="zh-CN" w:bidi="ar-SA"/>
        </w:rPr>
        <w:t>标事项的审查管理。定标工作应当纳入本单位“三重一大”事项管理，严格执行民主决策议事相关规则。</w:t>
      </w:r>
    </w:p>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outlineLvl w:val="9"/>
        <w:rPr>
          <w:rStyle w:val="10"/>
          <w:rFonts w:ascii="仿宋_GB2312" w:hAnsi="仿宋_GB2312" w:eastAsia="仿宋_GB2312"/>
          <w:b w:val="0"/>
          <w:i w:val="0"/>
          <w:caps w:val="0"/>
          <w:color w:val="000000"/>
          <w:spacing w:val="0"/>
          <w:w w:val="100"/>
          <w:kern w:val="2"/>
          <w:sz w:val="32"/>
          <w:szCs w:val="32"/>
          <w:lang w:val="en-US" w:eastAsia="zh-CN" w:bidi="ar-SA"/>
        </w:rPr>
      </w:pPr>
      <w:r>
        <w:rPr>
          <w:rStyle w:val="10"/>
          <w:rFonts w:ascii="仿宋_GB2312" w:hAnsi="仿宋_GB2312" w:eastAsia="仿宋_GB2312"/>
          <w:b w:val="0"/>
          <w:i w:val="0"/>
          <w:caps w:val="0"/>
          <w:spacing w:val="0"/>
          <w:w w:val="100"/>
          <w:kern w:val="2"/>
          <w:sz w:val="32"/>
          <w:szCs w:val="32"/>
          <w:lang w:val="en-US" w:eastAsia="zh-CN" w:bidi="ar-SA"/>
        </w:rPr>
        <w:t>1</w:t>
      </w:r>
      <w:r>
        <w:rPr>
          <w:rStyle w:val="10"/>
          <w:rFonts w:hint="eastAsia" w:ascii="仿宋_GB2312" w:hAnsi="仿宋_GB2312" w:eastAsia="仿宋_GB2312"/>
          <w:b w:val="0"/>
          <w:i w:val="0"/>
          <w:caps w:val="0"/>
          <w:spacing w:val="0"/>
          <w:w w:val="100"/>
          <w:kern w:val="2"/>
          <w:sz w:val="32"/>
          <w:szCs w:val="32"/>
          <w:lang w:val="en-US" w:eastAsia="zh-CN" w:bidi="ar-SA"/>
        </w:rPr>
        <w:t>0</w:t>
      </w:r>
      <w:r>
        <w:rPr>
          <w:rStyle w:val="10"/>
          <w:rFonts w:ascii="仿宋_GB2312" w:hAnsi="仿宋_GB2312" w:eastAsia="仿宋_GB2312"/>
          <w:b w:val="0"/>
          <w:i w:val="0"/>
          <w:caps w:val="0"/>
          <w:spacing w:val="0"/>
          <w:w w:val="100"/>
          <w:kern w:val="2"/>
          <w:sz w:val="32"/>
          <w:szCs w:val="32"/>
          <w:lang w:val="en-US" w:eastAsia="zh-CN" w:bidi="ar-SA"/>
        </w:rPr>
        <w:t>.</w:t>
      </w:r>
      <w:r>
        <w:rPr>
          <w:rStyle w:val="10"/>
          <w:rFonts w:hint="eastAsia" w:ascii="仿宋_GB2312" w:hAnsi="仿宋_GB2312" w:eastAsia="仿宋_GB2312"/>
          <w:b w:val="0"/>
          <w:i w:val="0"/>
          <w:caps w:val="0"/>
          <w:spacing w:val="0"/>
          <w:w w:val="100"/>
          <w:kern w:val="2"/>
          <w:sz w:val="32"/>
          <w:szCs w:val="32"/>
          <w:lang w:val="en-US" w:eastAsia="zh-CN" w:bidi="ar-SA"/>
        </w:rPr>
        <w:t>各级行业主管</w:t>
      </w:r>
      <w:r>
        <w:rPr>
          <w:rStyle w:val="10"/>
          <w:rFonts w:ascii="仿宋_GB2312" w:hAnsi="仿宋_GB2312" w:eastAsia="仿宋_GB2312"/>
          <w:b w:val="0"/>
          <w:i w:val="0"/>
          <w:caps w:val="0"/>
          <w:spacing w:val="0"/>
          <w:w w:val="100"/>
          <w:kern w:val="2"/>
          <w:sz w:val="32"/>
          <w:szCs w:val="32"/>
          <w:lang w:val="en-US" w:eastAsia="zh-CN" w:bidi="ar-SA"/>
        </w:rPr>
        <w:t>部门</w:t>
      </w:r>
      <w:r>
        <w:rPr>
          <w:rStyle w:val="10"/>
          <w:rFonts w:ascii="仿宋_GB2312" w:hAnsi="仿宋_GB2312" w:eastAsia="仿宋_GB2312"/>
          <w:b w:val="0"/>
          <w:i w:val="0"/>
          <w:caps w:val="0"/>
          <w:color w:val="000000"/>
          <w:spacing w:val="0"/>
          <w:w w:val="100"/>
          <w:kern w:val="2"/>
          <w:sz w:val="32"/>
          <w:szCs w:val="32"/>
          <w:lang w:val="en-US" w:eastAsia="zh-CN" w:bidi="ar-SA"/>
        </w:rPr>
        <w:t>和</w:t>
      </w:r>
      <w:r>
        <w:rPr>
          <w:rStyle w:val="10"/>
          <w:rFonts w:hint="eastAsia" w:ascii="仿宋_GB2312" w:hAnsi="仿宋_GB2312" w:eastAsia="仿宋_GB2312"/>
          <w:b w:val="0"/>
          <w:i w:val="0"/>
          <w:caps w:val="0"/>
          <w:color w:val="000000"/>
          <w:spacing w:val="0"/>
          <w:w w:val="100"/>
          <w:kern w:val="2"/>
          <w:sz w:val="32"/>
          <w:szCs w:val="32"/>
          <w:lang w:val="en-US" w:eastAsia="zh-CN" w:bidi="ar-SA"/>
        </w:rPr>
        <w:t>政务局</w:t>
      </w:r>
      <w:r>
        <w:rPr>
          <w:rStyle w:val="10"/>
          <w:rFonts w:ascii="仿宋_GB2312" w:hAnsi="仿宋_GB2312" w:eastAsia="仿宋_GB2312" w:cstheme="minorBidi"/>
          <w:b w:val="0"/>
          <w:i w:val="0"/>
          <w:caps w:val="0"/>
          <w:color w:val="000000"/>
          <w:spacing w:val="0"/>
          <w:w w:val="100"/>
          <w:kern w:val="0"/>
          <w:sz w:val="32"/>
          <w:szCs w:val="32"/>
          <w:highlight w:val="none"/>
          <w:lang w:val="en-US" w:eastAsia="zh-CN" w:bidi="ar-SA"/>
        </w:rPr>
        <w:t>应当加强对建设工程招标投标活动的监督管理，</w:t>
      </w:r>
      <w:r>
        <w:rPr>
          <w:rStyle w:val="10"/>
          <w:rFonts w:hint="eastAsia" w:ascii="仿宋_GB2312" w:hAnsi="仿宋_GB2312" w:eastAsia="仿宋_GB2312" w:cstheme="minorBidi"/>
          <w:b w:val="0"/>
          <w:i w:val="0"/>
          <w:caps w:val="0"/>
          <w:color w:val="000000"/>
          <w:spacing w:val="0"/>
          <w:w w:val="100"/>
          <w:kern w:val="0"/>
          <w:sz w:val="32"/>
          <w:szCs w:val="32"/>
          <w:highlight w:val="none"/>
          <w:lang w:val="en-US" w:eastAsia="zh-CN" w:bidi="ar-SA"/>
        </w:rPr>
        <w:t>加大检查力度，</w:t>
      </w:r>
      <w:r>
        <w:rPr>
          <w:rStyle w:val="10"/>
          <w:rFonts w:ascii="仿宋_GB2312" w:hAnsi="仿宋_GB2312" w:eastAsia="仿宋_GB2312" w:cstheme="minorBidi"/>
          <w:b w:val="0"/>
          <w:i w:val="0"/>
          <w:caps w:val="0"/>
          <w:color w:val="000000"/>
          <w:spacing w:val="0"/>
          <w:w w:val="100"/>
          <w:kern w:val="0"/>
          <w:sz w:val="32"/>
          <w:szCs w:val="32"/>
          <w:highlight w:val="none"/>
          <w:lang w:val="en-US" w:eastAsia="zh-CN" w:bidi="ar-SA"/>
        </w:rPr>
        <w:t>对</w:t>
      </w:r>
      <w:r>
        <w:rPr>
          <w:rStyle w:val="10"/>
          <w:rFonts w:ascii="仿宋_GB2312" w:hAnsi="仿宋_GB2312" w:eastAsia="仿宋_GB2312"/>
          <w:b w:val="0"/>
          <w:i w:val="0"/>
          <w:caps w:val="0"/>
          <w:color w:val="000000"/>
          <w:spacing w:val="0"/>
          <w:w w:val="100"/>
          <w:kern w:val="2"/>
          <w:sz w:val="32"/>
          <w:szCs w:val="32"/>
          <w:highlight w:val="none"/>
          <w:lang w:val="en-US" w:eastAsia="zh-CN" w:bidi="ar-SA"/>
        </w:rPr>
        <w:t>存在的问题及时作出处理，</w:t>
      </w:r>
      <w:r>
        <w:rPr>
          <w:rStyle w:val="10"/>
          <w:rFonts w:ascii="仿宋_GB2312" w:hAnsi="仿宋_GB2312" w:eastAsia="仿宋_GB2312"/>
          <w:b w:val="0"/>
          <w:i w:val="0"/>
          <w:caps w:val="0"/>
          <w:color w:val="000000"/>
          <w:spacing w:val="0"/>
          <w:w w:val="100"/>
          <w:kern w:val="2"/>
          <w:sz w:val="32"/>
          <w:szCs w:val="32"/>
          <w:lang w:val="en-US" w:eastAsia="zh-CN" w:bidi="ar-SA"/>
        </w:rPr>
        <w:t>涉嫌违法违纪的，移送</w:t>
      </w:r>
      <w:r>
        <w:rPr>
          <w:rStyle w:val="10"/>
          <w:rFonts w:hint="eastAsia" w:ascii="仿宋_GB2312" w:hAnsi="仿宋_GB2312" w:eastAsia="仿宋_GB2312"/>
          <w:b w:val="0"/>
          <w:i w:val="0"/>
          <w:caps w:val="0"/>
          <w:color w:val="000000"/>
          <w:spacing w:val="0"/>
          <w:w w:val="100"/>
          <w:kern w:val="2"/>
          <w:sz w:val="32"/>
          <w:szCs w:val="32"/>
          <w:lang w:val="en-US" w:eastAsia="zh-CN" w:bidi="ar-SA"/>
        </w:rPr>
        <w:t>纪委监委</w:t>
      </w:r>
      <w:r>
        <w:rPr>
          <w:rStyle w:val="10"/>
          <w:rFonts w:ascii="仿宋_GB2312" w:hAnsi="仿宋_GB2312" w:eastAsia="仿宋_GB2312"/>
          <w:b w:val="0"/>
          <w:i w:val="0"/>
          <w:caps w:val="0"/>
          <w:color w:val="000000"/>
          <w:spacing w:val="0"/>
          <w:w w:val="100"/>
          <w:kern w:val="2"/>
          <w:sz w:val="32"/>
          <w:szCs w:val="32"/>
          <w:lang w:val="en-US" w:eastAsia="zh-CN" w:bidi="ar-SA"/>
        </w:rPr>
        <w:t>或者相关部门处理；涉嫌犯罪的，移送司法机关处理。</w:t>
      </w:r>
    </w:p>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outlineLvl w:val="9"/>
        <w:rPr>
          <w:rStyle w:val="10"/>
          <w:rFonts w:ascii="仿宋_GB2312" w:hAnsi="仿宋_GB2312" w:eastAsia="仿宋_GB2312"/>
          <w:b w:val="0"/>
          <w:i w:val="0"/>
          <w:caps w:val="0"/>
          <w:color w:val="000000"/>
          <w:spacing w:val="0"/>
          <w:w w:val="100"/>
          <w:kern w:val="2"/>
          <w:sz w:val="32"/>
          <w:szCs w:val="32"/>
          <w:lang w:val="en-US" w:eastAsia="zh-CN" w:bidi="ar-SA"/>
        </w:rPr>
      </w:pPr>
    </w:p>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outlineLvl w:val="9"/>
        <w:rPr>
          <w:rStyle w:val="10"/>
          <w:rFonts w:hint="eastAsia" w:ascii="仿宋_GB2312" w:hAnsi="仿宋_GB2312" w:eastAsia="仿宋_GB2312"/>
          <w:b w:val="0"/>
          <w:i w:val="0"/>
          <w:caps w:val="0"/>
          <w:color w:val="000000"/>
          <w:spacing w:val="0"/>
          <w:w w:val="100"/>
          <w:kern w:val="2"/>
          <w:sz w:val="32"/>
          <w:szCs w:val="32"/>
          <w:lang w:val="en-US" w:eastAsia="zh-CN" w:bidi="ar-SA"/>
        </w:rPr>
      </w:pPr>
      <w:r>
        <w:rPr>
          <w:rStyle w:val="10"/>
          <w:rFonts w:hint="eastAsia" w:ascii="仿宋_GB2312" w:hAnsi="仿宋_GB2312" w:eastAsia="仿宋_GB2312"/>
          <w:b w:val="0"/>
          <w:i w:val="0"/>
          <w:caps w:val="0"/>
          <w:color w:val="000000"/>
          <w:spacing w:val="0"/>
          <w:w w:val="100"/>
          <w:kern w:val="2"/>
          <w:sz w:val="32"/>
          <w:szCs w:val="32"/>
          <w:lang w:val="en-US" w:eastAsia="zh-CN" w:bidi="ar-SA"/>
        </w:rPr>
        <w:t xml:space="preserve">                  </w:t>
      </w:r>
    </w:p>
    <w:p>
      <w:pPr>
        <w:spacing w:line="560" w:lineRule="exact"/>
        <w:rPr>
          <w:rFonts w:hint="eastAsia" w:ascii="仿宋_GB2312" w:hAnsi="仿宋_GB2312" w:eastAsia="仿宋_GB2312" w:cs="仿宋_GB2312"/>
          <w:color w:val="000000"/>
          <w:sz w:val="32"/>
          <w:szCs w:val="32"/>
        </w:rPr>
      </w:pPr>
    </w:p>
    <w:p>
      <w:pPr>
        <w:spacing w:line="560" w:lineRule="exact"/>
        <w:rPr>
          <w:rFonts w:hint="eastAsia" w:ascii="仿宋_GB2312" w:hAnsi="仿宋_GB2312" w:eastAsia="仿宋_GB2312" w:cs="仿宋_GB2312"/>
          <w:color w:val="000000"/>
          <w:sz w:val="32"/>
          <w:szCs w:val="32"/>
        </w:rPr>
      </w:pPr>
    </w:p>
    <w:p>
      <w:pPr>
        <w:spacing w:line="560" w:lineRule="exact"/>
        <w:rPr>
          <w:rFonts w:hint="eastAsia" w:ascii="仿宋_GB2312" w:hAnsi="仿宋_GB2312" w:eastAsia="仿宋_GB2312" w:cs="仿宋_GB2312"/>
          <w:color w:val="000000"/>
          <w:sz w:val="32"/>
          <w:szCs w:val="32"/>
        </w:rPr>
      </w:pPr>
    </w:p>
    <w:p>
      <w:pPr>
        <w:spacing w:line="560" w:lineRule="exact"/>
        <w:rPr>
          <w:rFonts w:hint="eastAsia"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rPr>
          <w:rFonts w:ascii="仿宋_GB2312" w:hAnsi="仿宋_GB2312" w:eastAsia="仿宋_GB2312" w:cs="仿宋_GB2312"/>
          <w:color w:val="000000"/>
          <w:sz w:val="32"/>
          <w:szCs w:val="32"/>
        </w:rPr>
      </w:pPr>
    </w:p>
    <w:p>
      <w:pPr>
        <w:spacing w:line="560" w:lineRule="exact"/>
        <w:jc w:val="center"/>
        <w:rPr>
          <w:rFonts w:ascii="仿宋_GB2312" w:eastAsia="仿宋_GB2312"/>
        </w:rPr>
      </w:pPr>
      <w: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24765</wp:posOffset>
                </wp:positionV>
                <wp:extent cx="5600700" cy="0"/>
                <wp:effectExtent l="0" t="0" r="19050" b="19050"/>
                <wp:wrapNone/>
                <wp:docPr id="2" name="直接连接符 2"/>
                <wp:cNvGraphicFramePr/>
                <a:graphic xmlns:a="http://schemas.openxmlformats.org/drawingml/2006/main">
                  <a:graphicData uri="http://schemas.microsoft.com/office/word/2010/wordprocessingShape">
                    <wps:wsp>
                      <wps:cNvCnPr>
                        <a:cxnSpLocks noChangeShapeType="true"/>
                      </wps:cNvCnPr>
                      <wps:spPr bwMode="auto">
                        <a:xfrm flipV="true">
                          <a:off x="0" y="0"/>
                          <a:ext cx="56007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flip:y;margin-left:0pt;margin-top:1.95pt;height:0pt;width:441pt;z-index:251662336;mso-width-relative:page;mso-height-relative:page;" filled="f" stroked="t" coordsize="21600,21600" o:gfxdata="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FgAAAGRycy9QSwECFAAUAAAACACHTuJArYC2e9EAAAAEAQAA&#10;DwAAAAAAAAABACAAAAA4AAAAZHJzL2Rvd25yZXYueG1sUEsBAhQAFAAAAAgAh07iQFTZtxvRAQAA&#10;bAMAAA4AAAAAAAAAAQAgAAAANgEAAGRycy9lMm9Eb2MueG1sUEsFBgAAAAAGAAYAWQEAAHkFAAAA&#10;AA==&#10;">
                <v:fill on="f" focussize="0,0"/>
                <v:stroke color="#000000" joinstyle="round"/>
                <v:imagedata o:title=""/>
                <o:lock v:ext="edit" aspectratio="f"/>
              </v:lin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385445</wp:posOffset>
                </wp:positionV>
                <wp:extent cx="5600700" cy="0"/>
                <wp:effectExtent l="0" t="0" r="19050" b="19050"/>
                <wp:wrapNone/>
                <wp:docPr id="5" name="直接连接符 5"/>
                <wp:cNvGraphicFramePr/>
                <a:graphic xmlns:a="http://schemas.openxmlformats.org/drawingml/2006/main">
                  <a:graphicData uri="http://schemas.microsoft.com/office/word/2010/wordprocessingShape">
                    <wps:wsp>
                      <wps:cNvCnPr>
                        <a:cxnSpLocks noChangeShapeType="true"/>
                      </wps:cNvCnPr>
                      <wps:spPr bwMode="auto">
                        <a:xfrm>
                          <a:off x="0" y="0"/>
                          <a:ext cx="56007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0pt;margin-top:30.35pt;height:0pt;width:441pt;z-index:251663360;mso-width-relative:page;mso-height-relative:page;" filled="f" stroked="t" coordsize="21600,21600" o:gfxdata="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BYAAABkcnMvUEsBAhQAFAAAAAgAh07iQKKqgcDTAAAABgEAAA8AAAAA&#10;AAAAAQAgAAAAOAAAAGRycy9kb3ducmV2LnhtbFBLAQIUABQAAAAIAIdO4kDh+oWJygEAAF8DAAAO&#10;AAAAAAAAAAEAIAAAADgBAABkcnMvZTJvRG9jLnhtbFBLBQYAAAAABgAGAFkBAAB0BQAAAAA=&#10;">
                <v:fill on="f" focussize="0,0"/>
                <v:stroke color="#000000" joinstyle="round"/>
                <v:imagedata o:title=""/>
                <o:lock v:ext="edit" aspectratio="f"/>
              </v:line>
            </w:pict>
          </mc:Fallback>
        </mc:AlternateContent>
      </w:r>
      <w:r>
        <w:rPr>
          <w:rFonts w:hint="eastAsia" w:ascii="仿宋_GB2312" w:hAnsi="仿宋" w:eastAsia="仿宋_GB2312"/>
          <w:sz w:val="28"/>
          <w:szCs w:val="28"/>
        </w:rPr>
        <w:t xml:space="preserve">恩施州政务服务和大数据管理局办公室        </w:t>
      </w:r>
      <w:r>
        <w:rPr>
          <w:rFonts w:hint="eastAsia" w:ascii="仿宋_GB2312" w:hAnsi="仿宋" w:eastAsia="仿宋_GB2312"/>
          <w:sz w:val="28"/>
          <w:szCs w:val="28"/>
          <w:lang w:val="en-US" w:eastAsia="zh-CN"/>
        </w:rPr>
        <w:t>2022</w:t>
      </w:r>
      <w:r>
        <w:rPr>
          <w:rFonts w:hint="eastAsia" w:ascii="仿宋_GB2312" w:hAnsi="仿宋" w:eastAsia="仿宋_GB2312"/>
          <w:sz w:val="28"/>
          <w:szCs w:val="28"/>
        </w:rPr>
        <w:t>年</w:t>
      </w:r>
      <w:r>
        <w:rPr>
          <w:rFonts w:hint="eastAsia" w:ascii="仿宋_GB2312" w:hAnsi="仿宋" w:eastAsia="仿宋_GB2312"/>
          <w:sz w:val="28"/>
          <w:szCs w:val="28"/>
          <w:lang w:val="en-US" w:eastAsia="zh-CN"/>
        </w:rPr>
        <w:t>5</w:t>
      </w:r>
      <w:r>
        <w:rPr>
          <w:rFonts w:hint="eastAsia" w:ascii="仿宋_GB2312" w:hAnsi="仿宋" w:eastAsia="仿宋_GB2312"/>
          <w:sz w:val="28"/>
          <w:szCs w:val="28"/>
        </w:rPr>
        <w:t>月</w:t>
      </w:r>
      <w:r>
        <w:rPr>
          <w:rFonts w:hint="eastAsia" w:ascii="仿宋_GB2312" w:hAnsi="仿宋" w:eastAsia="仿宋_GB2312"/>
          <w:sz w:val="28"/>
          <w:szCs w:val="28"/>
          <w:lang w:val="en-US" w:eastAsia="zh-CN"/>
        </w:rPr>
        <w:t>7</w:t>
      </w:r>
      <w:r>
        <w:rPr>
          <w:rFonts w:hint="eastAsia" w:ascii="仿宋_GB2312" w:hAnsi="仿宋" w:eastAsia="仿宋_GB2312"/>
          <w:sz w:val="28"/>
          <w:szCs w:val="28"/>
        </w:rPr>
        <w:t>日印发</w:t>
      </w:r>
    </w:p>
    <w:sectPr>
      <w:footerReference r:id="rId4" w:type="default"/>
      <w:pgSz w:w="11906" w:h="16838"/>
      <w:pgMar w:top="2098" w:right="1474" w:bottom="1985" w:left="1588"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 w:name="楷体">
    <w:panose1 w:val="02010609060101010101"/>
    <w:charset w:val="86"/>
    <w:family w:val="auto"/>
    <w:pitch w:val="default"/>
    <w:sig w:usb0="800002BF" w:usb1="38CF7CFA" w:usb2="00000016" w:usb3="00000000" w:csb0="00040001" w:csb1="00000000"/>
  </w:font>
  <w:font w:name="Nimbus Roman No9 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540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">
              <v:fill on="f" focussize="0,0"/>
              <v:stroke on="f" weight="0.5pt"/>
              <v:imagedata o:title=""/>
              <o:lock v:ext="edit" aspectratio="f"/>
              <v:textbox inset="0mm,0mm,0mm,0mm" style="mso-fit-shape-to-text:t;">
                <w:txbxContent>
                  <w:p>
                    <w:pPr>
                      <w:pStyle w:val="3"/>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6432"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643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">
              <v:fill on="f" focussize="0,0"/>
              <v:stroke on="f" weight="0.5pt"/>
              <v:imagedata o:title=""/>
              <o:lock v:ext="edit" aspectratio="f"/>
              <v:textbox inset="0mm,0mm,0mm,0mm" style="mso-fit-shape-to-text:t;">
                <w:txbxContent>
                  <w:p>
                    <w:pPr>
                      <w:pStyle w:val="3"/>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743664"/>
    <w:rsid w:val="001357EA"/>
    <w:rsid w:val="00170B86"/>
    <w:rsid w:val="001A5AB3"/>
    <w:rsid w:val="00372D6A"/>
    <w:rsid w:val="00462E8B"/>
    <w:rsid w:val="00651772"/>
    <w:rsid w:val="00745864"/>
    <w:rsid w:val="007B534F"/>
    <w:rsid w:val="008B6EF7"/>
    <w:rsid w:val="00A462E5"/>
    <w:rsid w:val="00A930B5"/>
    <w:rsid w:val="00BB4FE7"/>
    <w:rsid w:val="00C4608B"/>
    <w:rsid w:val="00D41285"/>
    <w:rsid w:val="00D51D6F"/>
    <w:rsid w:val="00EB53FA"/>
    <w:rsid w:val="00ED0C26"/>
    <w:rsid w:val="71743664"/>
    <w:rsid w:val="727C18E2"/>
    <w:rsid w:val="E7778939"/>
    <w:rsid w:val="F7DFB6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0"/>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7"/>
    <w:qFormat/>
    <w:uiPriority w:val="0"/>
    <w:rPr>
      <w:sz w:val="18"/>
      <w:szCs w:val="18"/>
    </w:rPr>
  </w:style>
  <w:style w:type="paragraph" w:styleId="3">
    <w:name w:val="footer"/>
    <w:basedOn w:val="1"/>
    <w:link w:val="9"/>
    <w:qFormat/>
    <w:uiPriority w:val="99"/>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批注框文本 Char"/>
    <w:basedOn w:val="6"/>
    <w:link w:val="2"/>
    <w:qFormat/>
    <w:uiPriority w:val="0"/>
    <w:rPr>
      <w:kern w:val="2"/>
      <w:sz w:val="18"/>
      <w:szCs w:val="18"/>
    </w:rPr>
  </w:style>
  <w:style w:type="character" w:customStyle="1" w:styleId="8">
    <w:name w:val="页眉 Char"/>
    <w:basedOn w:val="6"/>
    <w:link w:val="4"/>
    <w:qFormat/>
    <w:uiPriority w:val="0"/>
    <w:rPr>
      <w:kern w:val="2"/>
      <w:sz w:val="18"/>
      <w:szCs w:val="18"/>
    </w:rPr>
  </w:style>
  <w:style w:type="character" w:customStyle="1" w:styleId="9">
    <w:name w:val="页脚 Char"/>
    <w:basedOn w:val="6"/>
    <w:link w:val="3"/>
    <w:qFormat/>
    <w:uiPriority w:val="99"/>
    <w:rPr>
      <w:kern w:val="2"/>
      <w:sz w:val="18"/>
      <w:szCs w:val="18"/>
    </w:rPr>
  </w:style>
  <w:style w:type="character" w:customStyle="1" w:styleId="10">
    <w:name w:val="NormalCharacter"/>
    <w:link w:val="1"/>
    <w:semiHidden/>
    <w:qFormat/>
    <w:uiPriority w:val="0"/>
    <w:rPr>
      <w:rFonts w:asciiTheme="minorHAnsi" w:hAnsiTheme="minorHAnsi" w:eastAsiaTheme="minorEastAsia" w:cstheme="minorBidi"/>
      <w:kern w:val="2"/>
      <w:sz w:val="21"/>
      <w:szCs w:val="24"/>
      <w:lang w:val="en-US" w:eastAsia="zh-CN" w:bidi="ar-SA"/>
    </w:rPr>
  </w:style>
  <w:style w:type="paragraph" w:customStyle="1" w:styleId="11">
    <w:name w:val="HtmlNormal"/>
    <w:basedOn w:val="1"/>
    <w:qFormat/>
    <w:uiPriority w:val="0"/>
    <w:pPr>
      <w:spacing w:beforeAutospacing="1" w:afterAutospacing="1"/>
      <w:jc w:val="left"/>
      <w:textAlignment w:val="baseline"/>
    </w:pPr>
    <w:rPr>
      <w:rFonts w:ascii="Calibri" w:hAnsi="Calibri" w:eastAsia="宋体"/>
      <w:kern w:val="0"/>
      <w:sz w:val="24"/>
      <w:szCs w:val="3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Pages>
  <Words>545</Words>
  <Characters>3109</Characters>
  <Lines>25</Lines>
  <Paragraphs>7</Paragraphs>
  <TotalTime>24</TotalTime>
  <ScaleCrop>false</ScaleCrop>
  <LinksUpToDate>false</LinksUpToDate>
  <CharactersWithSpaces>3647</CharactersWithSpaces>
  <Application>WPS Office_11.8.2.10251_F1E327BC-269C-435d-A152-05C5408002CA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2021-09-08T23:01:00Z</dcterms:created>
  <dc:creator>Administrator</dc:creator>
  <cp:lastModifiedBy>kylin</cp:lastModifiedBy>
  <cp:lastPrinted>2022-05-09T15:10:55Z</cp:lastPrinted>
  <dcterms:modified xsi:type="dcterms:W3CDTF">2022-05-09T15:12:56Z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2052-11.8.2.10251</vt:lpwstr>
  </property>
</Properties>
</file>