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48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楷体_GB2312" w:hAnsi="楷体_GB2312" w:eastAsia="楷体_GB2312" w:cs="楷体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保政</w:t>
      </w:r>
      <w:r>
        <w:rPr>
          <w:rFonts w:hint="eastAsia" w:ascii="仿宋_GB2312" w:hAnsi="仿宋_GB2312" w:eastAsia="仿宋_GB2312" w:cs="仿宋_GB2312"/>
          <w:color w:val="000000" w:themeColor="text1"/>
          <w:sz w:val="32"/>
          <w:szCs w:val="32"/>
          <w:lang w:eastAsia="zh-CN"/>
          <w14:textFill>
            <w14:solidFill>
              <w14:schemeClr w14:val="tx1"/>
            </w14:solidFill>
          </w14:textFill>
        </w:rPr>
        <w:t>发</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2021</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12</w:t>
      </w:r>
      <w:r>
        <w:rPr>
          <w:rFonts w:hint="eastAsia" w:ascii="仿宋_GB2312" w:hAnsi="仿宋_GB2312" w:eastAsia="仿宋_GB2312" w:cs="仿宋_GB2312"/>
          <w:color w:val="000000" w:themeColor="text1"/>
          <w:sz w:val="32"/>
          <w:szCs w:val="32"/>
          <w14:textFill>
            <w14:solidFill>
              <w14:schemeClr w14:val="tx1"/>
            </w14:solidFill>
          </w14:textFill>
        </w:rPr>
        <w:t>号</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县 人 民 政 府</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关于印发</w:t>
      </w: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保康县国有投资建设工程项目监督</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center"/>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sz w:val="44"/>
          <w:szCs w:val="44"/>
          <w:lang w:eastAsia="zh-CN"/>
          <w14:textFill>
            <w14:solidFill>
              <w14:schemeClr w14:val="tx1"/>
            </w14:solidFill>
          </w14:textFill>
        </w:rPr>
        <w:t>管理办法</w:t>
      </w:r>
      <w:r>
        <w:rPr>
          <w:rFonts w:hint="eastAsia" w:ascii="方正小标宋简体" w:hAnsi="方正小标宋简体" w:eastAsia="方正小标宋简体" w:cs="方正小标宋简体"/>
          <w:color w:val="000000" w:themeColor="text1"/>
          <w:sz w:val="44"/>
          <w:szCs w:val="44"/>
          <w14:textFill>
            <w14:solidFill>
              <w14:schemeClr w14:val="tx1"/>
            </w14:solidFill>
          </w14:textFill>
        </w:rPr>
        <w:t>的通知</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both"/>
        <w:textAlignment w:val="auto"/>
        <w:rPr>
          <w:rFonts w:hint="eastAsia" w:ascii="方正小标宋简体" w:hAnsi="方正小标宋简体" w:eastAsia="方正小标宋简体" w:cs="方正小标宋简体"/>
          <w:color w:val="000000" w:themeColor="text1"/>
          <w:sz w:val="44"/>
          <w:szCs w:val="44"/>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各乡、镇人民政府，开发区管委会，</w:t>
      </w:r>
      <w:r>
        <w:rPr>
          <w:rFonts w:hint="eastAsia" w:ascii="仿宋_GB2312" w:hAnsi="仿宋_GB2312" w:eastAsia="仿宋_GB2312" w:cs="仿宋_GB2312"/>
          <w:color w:val="000000" w:themeColor="text1"/>
          <w:sz w:val="32"/>
          <w:szCs w:val="32"/>
          <w:lang w:eastAsia="zh-CN"/>
          <w14:textFill>
            <w14:solidFill>
              <w14:schemeClr w14:val="tx1"/>
            </w14:solidFill>
          </w14:textFill>
        </w:rPr>
        <w:t>五道峡管理局，</w:t>
      </w:r>
      <w:r>
        <w:rPr>
          <w:rFonts w:hint="eastAsia" w:ascii="仿宋_GB2312" w:hAnsi="仿宋_GB2312" w:eastAsia="仿宋_GB2312" w:cs="仿宋_GB2312"/>
          <w:color w:val="000000" w:themeColor="text1"/>
          <w:sz w:val="32"/>
          <w:szCs w:val="32"/>
          <w14:textFill>
            <w14:solidFill>
              <w14:schemeClr w14:val="tx1"/>
            </w14:solidFill>
          </w14:textFill>
        </w:rPr>
        <w:t>县政府各部门</w:t>
      </w:r>
      <w:r>
        <w:rPr>
          <w:rFonts w:hint="eastAsia" w:ascii="仿宋_GB2312" w:hAnsi="仿宋_GB2312" w:eastAsia="仿宋_GB2312" w:cs="仿宋_GB2312"/>
          <w:color w:val="000000" w:themeColor="text1"/>
          <w:sz w:val="32"/>
          <w:szCs w:val="32"/>
          <w:lang w:eastAsia="zh-CN"/>
          <w14:textFill>
            <w14:solidFill>
              <w14:schemeClr w14:val="tx1"/>
            </w14:solidFill>
          </w14:textFill>
        </w:rPr>
        <w:t>（中心）</w:t>
      </w:r>
      <w:r>
        <w:rPr>
          <w:rFonts w:hint="eastAsia" w:ascii="仿宋_GB2312" w:hAnsi="仿宋_GB2312" w:eastAsia="仿宋_GB2312" w:cs="仿宋_GB2312"/>
          <w:color w:val="000000" w:themeColor="text1"/>
          <w:sz w:val="32"/>
          <w:szCs w:val="32"/>
          <w14:textFill>
            <w14:solidFill>
              <w14:schemeClr w14:val="tx1"/>
            </w14:solidFill>
          </w14:textFill>
        </w:rPr>
        <w:t>：</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保康县</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国有投资建设</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工程项目</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监督</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管理</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办法</w:t>
      </w:r>
      <w:r>
        <w:rPr>
          <w:rFonts w:hint="eastAsia" w:ascii="仿宋_GB2312" w:hAnsi="仿宋_GB2312" w:eastAsia="仿宋_GB2312" w:cs="仿宋_GB2312"/>
          <w:color w:val="000000" w:themeColor="text1"/>
          <w:sz w:val="32"/>
          <w:szCs w:val="32"/>
          <w14:textFill>
            <w14:solidFill>
              <w14:schemeClr w14:val="tx1"/>
            </w14:solidFill>
          </w14:textFill>
        </w:rPr>
        <w:t>》已经县政府常务会议讨论通过，现印发给你们，请遵照执行。</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firstLineChars="2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val="0"/>
        <w:overflowPunct/>
        <w:topLinePunct w:val="0"/>
        <w:autoSpaceDE/>
        <w:autoSpaceDN/>
        <w:bidi w:val="0"/>
        <w:adjustRightInd/>
        <w:snapToGrid/>
        <w:spacing w:beforeAutospacing="0" w:afterAutospacing="0" w:line="560" w:lineRule="exact"/>
        <w:ind w:left="0" w:firstLine="640" w:firstLineChars="200"/>
        <w:jc w:val="righ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20</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w:t>
      </w:r>
      <w:r>
        <w:rPr>
          <w:rFonts w:hint="eastAsia" w:ascii="仿宋_GB2312" w:hAnsi="仿宋_GB2312" w:eastAsia="仿宋_GB2312" w:cs="仿宋_GB2312"/>
          <w:color w:val="000000" w:themeColor="text1"/>
          <w:sz w:val="32"/>
          <w:szCs w:val="32"/>
          <w14:textFill>
            <w14:solidFill>
              <w14:schemeClr w14:val="tx1"/>
            </w14:solidFill>
          </w14:textFill>
        </w:rPr>
        <w:t>1年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25</w:t>
      </w:r>
      <w:r>
        <w:rPr>
          <w:rFonts w:hint="eastAsia" w:ascii="仿宋_GB2312" w:hAnsi="仿宋_GB2312" w:eastAsia="仿宋_GB2312" w:cs="仿宋_GB2312"/>
          <w:color w:val="000000" w:themeColor="text1"/>
          <w:sz w:val="32"/>
          <w:szCs w:val="32"/>
          <w14:textFill>
            <w14:solidFill>
              <w14:schemeClr w14:val="tx1"/>
            </w14:solidFill>
          </w14:textFill>
        </w:rPr>
        <w:t>日</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bookmarkStart w:id="0" w:name="_GoBack"/>
      <w:bookmarkEnd w:id="0"/>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shd w:val="clear"/>
        <w:kinsoku/>
        <w:wordWrap w:val="0"/>
        <w:overflowPunct/>
        <w:topLinePunct w:val="0"/>
        <w:autoSpaceDE/>
        <w:autoSpaceDN/>
        <w:bidi w:val="0"/>
        <w:adjustRightInd/>
        <w:snapToGrid/>
        <w:spacing w:beforeAutospacing="0" w:afterAutospacing="0" w:line="560" w:lineRule="exact"/>
        <w:ind w:left="0" w:firstLine="640" w:firstLineChars="200"/>
        <w:jc w:val="right"/>
        <w:textAlignment w:val="auto"/>
        <w:rPr>
          <w:rStyle w:val="9"/>
          <w:rFonts w:hint="default" w:ascii="仿宋_GB2312" w:hAnsi="仿宋_GB2312" w:eastAsia="仿宋_GB2312" w:cs="仿宋_GB2312"/>
          <w:i w:val="0"/>
          <w:caps w:val="0"/>
          <w:color w:val="000000" w:themeColor="text1"/>
          <w:spacing w:val="0"/>
          <w:sz w:val="32"/>
          <w:szCs w:val="32"/>
          <w:shd w:val="clear" w:color="auto" w:fill="FFFFFF"/>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jc w:val="center"/>
        <w:textAlignment w:val="auto"/>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14:textFill>
            <w14:solidFill>
              <w14:schemeClr w14:val="tx1"/>
            </w14:solidFill>
          </w14:textFill>
        </w:rPr>
      </w:pPr>
      <w:r>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lang w:eastAsia="zh-CN"/>
          <w14:textFill>
            <w14:solidFill>
              <w14:schemeClr w14:val="tx1"/>
            </w14:solidFill>
          </w14:textFill>
        </w:rPr>
        <w:t>保康县国有投资建设</w:t>
      </w:r>
      <w:r>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14:textFill>
            <w14:solidFill>
              <w14:schemeClr w14:val="tx1"/>
            </w14:solidFill>
          </w14:textFill>
        </w:rPr>
        <w:t>工程项目</w:t>
      </w:r>
      <w:r>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lang w:eastAsia="zh-CN"/>
          <w14:textFill>
            <w14:solidFill>
              <w14:schemeClr w14:val="tx1"/>
            </w14:solidFill>
          </w14:textFill>
        </w:rPr>
        <w:t>监督</w:t>
      </w:r>
      <w:r>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14:textFill>
            <w14:solidFill>
              <w14:schemeClr w14:val="tx1"/>
            </w14:solidFill>
          </w14:textFill>
        </w:rPr>
        <w:t>管理</w:t>
      </w:r>
      <w:r>
        <w:rPr>
          <w:rStyle w:val="9"/>
          <w:rFonts w:hint="eastAsia" w:ascii="方正小标宋简体" w:hAnsi="方正小标宋简体" w:eastAsia="方正小标宋简体" w:cs="方正小标宋简体"/>
          <w:b w:val="0"/>
          <w:bCs w:val="0"/>
          <w:i w:val="0"/>
          <w:caps w:val="0"/>
          <w:color w:val="000000" w:themeColor="text1"/>
          <w:spacing w:val="0"/>
          <w:sz w:val="44"/>
          <w:szCs w:val="44"/>
          <w:shd w:val="clear" w:color="auto" w:fill="FFFFFF"/>
          <w:lang w:eastAsia="zh-CN"/>
          <w14:textFill>
            <w14:solidFill>
              <w14:schemeClr w14:val="tx1"/>
            </w14:solidFill>
          </w14:textFill>
        </w:rPr>
        <w:t>办法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jc w:val="both"/>
        <w:textAlignment w:val="auto"/>
        <w:rPr>
          <w:rStyle w:val="9"/>
          <w:rFonts w:hint="eastAsia" w:ascii="仿宋" w:hAnsi="仿宋" w:eastAsia="仿宋" w:cs="仿宋"/>
          <w:b/>
          <w:bCs/>
          <w:i w:val="0"/>
          <w:caps w:val="0"/>
          <w:color w:val="000000" w:themeColor="text1"/>
          <w:spacing w:val="0"/>
          <w:sz w:val="32"/>
          <w:szCs w:val="32"/>
          <w:shd w:val="clear" w:color="auto" w:fill="FFFFFF"/>
          <w14:textFill>
            <w14:solidFill>
              <w14:schemeClr w14:val="tx1"/>
            </w14:solidFill>
          </w14:textFill>
        </w:rPr>
      </w:pP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pPr>
      <w:r>
        <w:rPr>
          <w:rStyle w:val="9"/>
          <w:rFonts w:hint="eastAsia" w:ascii="仿宋" w:hAnsi="仿宋" w:eastAsia="仿宋" w:cs="仿宋"/>
          <w:b w:val="0"/>
          <w:bCs w:val="0"/>
          <w:i w:val="0"/>
          <w:caps w:val="0"/>
          <w:color w:val="000000" w:themeColor="text1"/>
          <w:spacing w:val="0"/>
          <w:sz w:val="32"/>
          <w:szCs w:val="32"/>
          <w:shd w:val="clear" w:color="auto" w:fill="FFFFFF"/>
          <w14:textFill>
            <w14:solidFill>
              <w14:schemeClr w14:val="tx1"/>
            </w14:solidFill>
          </w14:textFill>
        </w:rPr>
        <w:t>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　</w:t>
      </w:r>
      <w:r>
        <w:rPr>
          <w:rStyle w:val="9"/>
          <w:rFonts w:hint="eastAsia" w:ascii="黑体" w:hAnsi="黑体" w:eastAsia="黑体" w:cs="黑体"/>
          <w:b w:val="0"/>
          <w:bCs w:val="0"/>
          <w:i w:val="0"/>
          <w:caps w:val="0"/>
          <w:color w:val="000000" w:themeColor="text1"/>
          <w:spacing w:val="0"/>
          <w:sz w:val="32"/>
          <w:szCs w:val="32"/>
          <w:shd w:val="clear" w:color="auto" w:fill="FFFFFF"/>
          <w:lang w:eastAsia="zh-CN"/>
          <w14:textFill>
            <w14:solidFill>
              <w14:schemeClr w14:val="tx1"/>
            </w14:solidFill>
          </w14:textFill>
        </w:rPr>
        <w:t>第一条</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为进一步落实“放管服”改革要求，优化营商环境，规范国有投资工程项目建设招标投标活动，提高工程项目建设效率，落实招标人主体责任，</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根据《中华人民共和国招标投标法》《中华人民共和国招标投标法实施条例》</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《优化营商环境条例》</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《湖北省公共资源招</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标</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投标监督管理条例》</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《湖北省优化营商环境办法》</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等</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法律法规</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规定，</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结合我县实际，制定本办法。</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eastAsia="zh-CN"/>
          <w14:textFill>
            <w14:solidFill>
              <w14:schemeClr w14:val="tx1"/>
            </w14:solidFill>
          </w14:textFill>
        </w:rPr>
        <w:t>第二条</w:t>
      </w: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本</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办法</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所称</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国有投资</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工程</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项目（以下简称国有投资工程）</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，是指</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根据《必须招标的工程建设项目规定》（国务院批准，国家发展改革委令第</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16号</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）的规定，全部或部分使用</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国有资金投资或国</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家融资</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的</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项目。</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eastAsia="zh-CN"/>
          <w14:textFill>
            <w14:solidFill>
              <w14:schemeClr w14:val="tx1"/>
            </w14:solidFill>
          </w14:textFill>
        </w:rPr>
        <w:t>第三条</w:t>
      </w: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根据《湖北省人民政府办公厅关于印发〈湖北省公共资源交易目录〉的通知</w:t>
      </w:r>
      <w:r>
        <w:rPr>
          <w:rFonts w:hint="eastAsia" w:ascii="仿宋_GB2312" w:hAnsi="仿宋_GB2312" w:eastAsia="仿宋_GB2312" w:cs="仿宋_GB2312"/>
          <w:color w:val="000000" w:themeColor="text1"/>
          <w:sz w:val="32"/>
          <w:szCs w:val="32"/>
          <w14:textFill>
            <w14:solidFill>
              <w14:schemeClr w14:val="tx1"/>
            </w14:solidFill>
          </w14:textFill>
        </w:rPr>
        <w:t>》</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鄂政办函〔2020〕27号）等相关规定，公共资源交易目录内的国有投资工程及服务项目的招标采购，应当自主选择在省内各级公共资源交易平台进场交易。对不属于依法必须招标的项目，不得强制要求进行招投标。</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公共资源交易目录以外的项目，任何单位或个人不得强制要求进入公共资源交易平台进行交易。非依法必须招标的施工及勘察、设计、监理项目，集中采购目录以外且未达到分散采购限额标准的其他货物、服务项目，集中采购目录以内未达到集中采购限额标准的项目，</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可以按下列方式之一选择交易方式，交易金额及交易结果应向社会公开：</w:t>
      </w:r>
    </w:p>
    <w:p>
      <w:pPr>
        <w:keepNext w:val="0"/>
        <w:keepLines w:val="0"/>
        <w:pageBreakBefore w:val="0"/>
        <w:widowControl w:val="0"/>
        <w:numPr>
          <w:ilvl w:val="0"/>
          <w:numId w:val="1"/>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由业主单位（发包方）按照“三重一大”有关规定自行择优选择承包（供应）方；</w:t>
      </w:r>
    </w:p>
    <w:p>
      <w:pPr>
        <w:keepNext w:val="0"/>
        <w:keepLines w:val="0"/>
        <w:pageBreakBefore w:val="0"/>
        <w:widowControl w:val="0"/>
        <w:numPr>
          <w:ilvl w:val="0"/>
          <w:numId w:val="1"/>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由业主单位委托招标代理机构自行组织招标评标或通过竞争方式进行交易，或者自行选择各类产权交易平台进行交易。</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    第四条 </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 xml:space="preserve"> 有下列情形之一的，建设单位必须按照《招标投标法》</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《必须招标的工程建设项目规定》的规定</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公开招标：</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（一）工程建设项目的施工单项合同估算价在四百万元以上的；</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（二）工程建设项目的设备、材料等货物的采购，单项合同估算价在二百万元以上的；</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（三）工程建设项目的勘察、设计、监理服务的采购，单项合同估算价在一百万元以上的。</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第五条 </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 xml:space="preserve"> 国有投资工程的招标人由县政府或相关部门确定，一般应当具备法人资格或依法独立承担民事责任，各类工程指挥部、项目部等议事协调机构、临时机构、机关内设机构不得作为招标人。</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eastAsia="zh-CN"/>
          <w14:textFill>
            <w14:solidFill>
              <w14:schemeClr w14:val="tx1"/>
            </w14:solidFill>
          </w14:textFill>
        </w:rPr>
        <w:t>第六条</w:t>
      </w: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14:textFill>
            <w14:solidFill>
              <w14:schemeClr w14:val="tx1"/>
            </w14:solidFill>
          </w14:textFill>
        </w:rPr>
        <w:t>工程项目</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及与工程建设直接相关的货物、服务项目招标，建设单位</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14:textFill>
            <w14:solidFill>
              <w14:schemeClr w14:val="tx1"/>
            </w14:solidFill>
          </w14:textFill>
        </w:rPr>
        <w:t>应</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合理划分标段，</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任何单位或个人</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不得通过多划标段</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、分期（散）招标、以及拆分肢解、化整为零</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等方式，规避公开招标</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或组织、参与、策划围标串标</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同一（类）工程项目的施工单项合同估算价在一千万元（不含本数）</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以内的，应确定为一个标段招标；</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一千</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万元以上、三千万元以下的（含本数），标段划分一般不得超过两个；超过三千万元的，标段划分一般不得超过四个</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。因技术原因确需增加标段</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的，应书面说明理由并报县公共资源交易监督管理委员会批准。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工程建设项目的监理招标一般应当与施工项目招标同步进行。</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eastAsia="zh-CN"/>
          <w14:textFill>
            <w14:solidFill>
              <w14:schemeClr w14:val="tx1"/>
            </w14:solidFill>
          </w14:textFill>
        </w:rPr>
        <w:t>第七条</w:t>
      </w: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在同一乡镇、同一时段或同一项目批复文件内实施的国</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土整治等项目，以及与之相关的货物和勘察、设计、监理等服务事项，</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属于本办法第六条规定的同一（类）</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工程项目</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建设单位应当按照工程建设基本程序要求，对同一（类）工程项目打包或合理分段进行工程立项、工程概算、初步设计和招标投标，不得有下列行为：</w:t>
      </w:r>
    </w:p>
    <w:p>
      <w:pPr>
        <w:pStyle w:val="5"/>
        <w:keepNext w:val="0"/>
        <w:keepLines w:val="0"/>
        <w:pageBreakBefore w:val="0"/>
        <w:widowControl w:val="0"/>
        <w:numPr>
          <w:ilvl w:val="0"/>
          <w:numId w:val="2"/>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违反基本建设程序，边施工、边设计、边勘察、边招标、边办理工程建设相关手续；</w:t>
      </w:r>
    </w:p>
    <w:p>
      <w:pPr>
        <w:pStyle w:val="5"/>
        <w:keepNext w:val="0"/>
        <w:keepLines w:val="0"/>
        <w:pageBreakBefore w:val="0"/>
        <w:widowControl w:val="0"/>
        <w:numPr>
          <w:ilvl w:val="0"/>
          <w:numId w:val="2"/>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违反有关规定擅自增加工程；</w:t>
      </w:r>
    </w:p>
    <w:p>
      <w:pPr>
        <w:pStyle w:val="5"/>
        <w:keepNext w:val="0"/>
        <w:keepLines w:val="0"/>
        <w:pageBreakBefore w:val="0"/>
        <w:widowControl w:val="0"/>
        <w:numPr>
          <w:ilvl w:val="0"/>
          <w:numId w:val="2"/>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化整为零、肢解工程，规避公开招标。</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对同一（类）工程项目的认定有争议的，报请县公共资源交易监督管理委员会决定。</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第八条 </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 xml:space="preserve"> </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招标人及招标代理机构违反本办法规定，通过不合理划分标段或者化整为零、拆分肢解工程分期招标的，县公共资源交易监督管理局及相关部门对招标文件不予备案，不得进行招标，</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val="en-US" w:eastAsia="zh-CN"/>
          <w14:textFill>
            <w14:solidFill>
              <w14:schemeClr w14:val="tx1"/>
            </w14:solidFill>
          </w14:textFill>
        </w:rPr>
        <w:t>并</w:t>
      </w:r>
      <w:r>
        <w:rPr>
          <w:rStyle w:val="9"/>
          <w:rFonts w:hint="eastAsia" w:ascii="仿宋_GB2312" w:hAnsi="仿宋_GB2312" w:eastAsia="仿宋_GB2312" w:cs="仿宋_GB2312"/>
          <w:b w:val="0"/>
          <w:bCs w:val="0"/>
          <w:i w:val="0"/>
          <w:iCs w:val="0"/>
          <w:caps w:val="0"/>
          <w:color w:val="000000" w:themeColor="text1"/>
          <w:spacing w:val="0"/>
          <w:sz w:val="32"/>
          <w:szCs w:val="32"/>
          <w:shd w:val="clear" w:color="auto" w:fill="FFFFFF"/>
          <w:lang w:eastAsia="zh-CN"/>
          <w14:textFill>
            <w14:solidFill>
              <w14:schemeClr w14:val="tx1"/>
            </w14:solidFill>
          </w14:textFill>
        </w:rPr>
        <w:t>应责成建设单位及招标代理机构对招标文件及时进行修改，拒不修改的，县公共资源交易监督管理局应依法责令暂停、终止招标。</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第九条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工程建设项目在工程造价预算编制过程中，应当按照有关规定编列暂列金，暂列金一般不超过工程造价总预算的10%。</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经县政府批准，对政府投资项目工程造价预算进行财政投资评审的项目，送审投资额在三千万元以下的，政府投资评审机构应当在收到建设单位递交的评审资料后</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10个工作日内完成评审并出具评审报告；</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送审投资额在三千万元以上的，政府投资评审机构应当在收到建设单位递交的评审资料后</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15个工作日内完成评审并出具评审报告；逾期未完成评审的，建设单位可以按原工程造价预算报告及有关规定核定拦标价后直接挂网招标。</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财政部门委托中介机构进行评审的，评审费用应由财政部门在委托前按件确定，不得与审减费用挂钩。</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第十条</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国有投资</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工程项目，</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一般</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应当具备下列条件才能进行</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勘察、设计和施工招标，国家、省另有规定的除外：</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br w:type="textWrapping"/>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　</w:t>
      </w:r>
      <w:r>
        <w:rPr>
          <w:rFonts w:hint="eastAsia" w:ascii="楷体_GB2312" w:hAnsi="楷体_GB2312" w:eastAsia="楷体_GB2312" w:cs="楷体_GB2312"/>
          <w:b w:val="0"/>
          <w:i w:val="0"/>
          <w:caps w:val="0"/>
          <w:color w:val="000000" w:themeColor="text1"/>
          <w:spacing w:val="0"/>
          <w:sz w:val="32"/>
          <w:szCs w:val="32"/>
          <w:shd w:val="clear" w:color="auto" w:fill="FFFFFF"/>
          <w14:textFill>
            <w14:solidFill>
              <w14:schemeClr w14:val="tx1"/>
            </w14:solidFill>
          </w14:textFill>
        </w:rPr>
        <w:t>　</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（一）招标人已经依法成立</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，并符合本办法第五条的规定；</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br w:type="textWrapping"/>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　　（二）初步设计及概算应当履行审批手续的，已经批准；</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br w:type="textWrapping"/>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　　（三）招标范围、招标方式和招标组织形式等应当履行核准手续的，已经</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上级项目核准部门</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核准；</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pP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四</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财政或有关主管部门有相关资金或项目计划批复，</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或</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者招标人承诺有资金来源、</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资金来源已经落实；</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br w:type="textWrapping"/>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　　（</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五</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）有招标所需的设计图纸及技术资料</w:t>
      </w:r>
      <w:r>
        <w:rPr>
          <w:rFonts w:hint="eastAsia" w:ascii="仿宋_GB2312" w:hAnsi="仿宋_GB2312" w:eastAsia="仿宋_GB2312" w:cs="仿宋_GB2312"/>
          <w:b w:val="0"/>
          <w:i w:val="0"/>
          <w:caps w:val="0"/>
          <w:color w:val="000000" w:themeColor="text1"/>
          <w:spacing w:val="0"/>
          <w:sz w:val="32"/>
          <w:szCs w:val="32"/>
          <w:shd w:val="clear" w:color="auto" w:fill="FFFFFF"/>
          <w:lang w:eastAsia="zh-CN"/>
          <w14:textFill>
            <w14:solidFill>
              <w14:schemeClr w14:val="tx1"/>
            </w14:solidFill>
          </w14:textFill>
        </w:rPr>
        <w:t>，但以工程总承包方式招标的除外</w:t>
      </w:r>
      <w:r>
        <w:rPr>
          <w:rFonts w:hint="eastAsia" w:ascii="仿宋_GB2312" w:hAnsi="仿宋_GB2312" w:eastAsia="仿宋_GB2312" w:cs="仿宋_GB2312"/>
          <w:b w:val="0"/>
          <w:i w:val="0"/>
          <w:caps w:val="0"/>
          <w:color w:val="000000" w:themeColor="text1"/>
          <w:spacing w:val="0"/>
          <w:sz w:val="32"/>
          <w:szCs w:val="32"/>
          <w:shd w:val="clear" w:color="auto" w:fill="FFFFFF"/>
          <w14:textFill>
            <w14:solidFill>
              <w14:schemeClr w14:val="tx1"/>
            </w14:solidFill>
          </w14:textFill>
        </w:rPr>
        <w:t>。</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建设单位在启动招标前，应当按照规定将招标文件提交相关行业监管部门或综合监管机构进行备案，备案部门应当在一个工作日内完成备案。</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招标人及招标代理机构应当对招标资料的真实性、完整性、合法性负责，县公共资源交易中心应当在收到相关资料后进行形式复核，并在一个工作日内办理挂网手续，不得进行实质性审查。</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县公共资源交易监督管理局应当会同住建、交通、水利等有关行政主管部门建立健全公共资源交易平台，优化交易服务流程，依法公开公共资源交易规则、流程、结果、监管和信用等信息，推行在线招标、投标、开标和远程异地评标。公共资源交易平台应当按照国家、省有关全流程电子招投标的有关要求，不断优化全流程电子招投标服务。</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公共资源交易平台、其他各类交易平台、招标采购代理机构在招投标活动中，应当严格执行《公共资源交易平台管理暂行办法》（国家发改委等</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14部委</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第39号令）及国家有关规定，不得行使任何审批、备案、监管、处罚等行政监督管理职能，不得利用服务职能和技术手段刁难招标人或干预招投标活动，不得乱收费，不得泄露依法应当保密的招投标相关信息。</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鼓励业主单位通过工程总承包、施工总承包方式实行设计、施工、采购、监理等一体化招标。</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第十一条</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国有投资工程</w:t>
      </w:r>
      <w:r>
        <w:rPr>
          <w:rFonts w:hint="eastAsia" w:ascii="仿宋_GB2312" w:hAnsi="仿宋_GB2312" w:eastAsia="仿宋_GB2312" w:cs="仿宋_GB2312"/>
          <w:color w:val="000000" w:themeColor="text1"/>
          <w:sz w:val="32"/>
          <w:szCs w:val="32"/>
          <w14:textFill>
            <w14:solidFill>
              <w14:schemeClr w14:val="tx1"/>
            </w14:solidFill>
          </w14:textFill>
        </w:rPr>
        <w:t>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业主单位</w:t>
      </w:r>
      <w:r>
        <w:rPr>
          <w:rFonts w:hint="eastAsia" w:ascii="仿宋_GB2312" w:hAnsi="仿宋_GB2312" w:eastAsia="仿宋_GB2312" w:cs="仿宋_GB2312"/>
          <w:color w:val="000000" w:themeColor="text1"/>
          <w:sz w:val="32"/>
          <w:szCs w:val="32"/>
          <w14:textFill>
            <w14:solidFill>
              <w14:schemeClr w14:val="tx1"/>
            </w14:solidFill>
          </w14:textFill>
        </w:rPr>
        <w:t>可</w:t>
      </w:r>
      <w:r>
        <w:rPr>
          <w:rFonts w:hint="eastAsia" w:ascii="仿宋_GB2312" w:hAnsi="仿宋_GB2312" w:eastAsia="仿宋_GB2312" w:cs="仿宋_GB2312"/>
          <w:color w:val="000000" w:themeColor="text1"/>
          <w:sz w:val="32"/>
          <w:szCs w:val="32"/>
          <w:lang w:eastAsia="zh-CN"/>
          <w14:textFill>
            <w14:solidFill>
              <w14:schemeClr w14:val="tx1"/>
            </w14:solidFill>
          </w14:textFill>
        </w:rPr>
        <w:t>委</w:t>
      </w:r>
      <w:r>
        <w:rPr>
          <w:rFonts w:hint="eastAsia" w:ascii="仿宋_GB2312" w:hAnsi="仿宋_GB2312" w:eastAsia="仿宋_GB2312" w:cs="仿宋_GB2312"/>
          <w:color w:val="000000" w:themeColor="text1"/>
          <w:sz w:val="32"/>
          <w:szCs w:val="32"/>
          <w14:textFill>
            <w14:solidFill>
              <w14:schemeClr w14:val="tx1"/>
            </w14:solidFill>
          </w14:textFill>
        </w:rPr>
        <w:t>派</w:t>
      </w:r>
      <w:r>
        <w:rPr>
          <w:rFonts w:hint="eastAsia" w:ascii="仿宋_GB2312" w:hAnsi="仿宋_GB2312" w:eastAsia="仿宋_GB2312" w:cs="仿宋_GB2312"/>
          <w:color w:val="000000" w:themeColor="text1"/>
          <w:sz w:val="32"/>
          <w:szCs w:val="32"/>
          <w:lang w:eastAsia="zh-CN"/>
          <w14:textFill>
            <w14:solidFill>
              <w14:schemeClr w14:val="tx1"/>
            </w14:solidFill>
          </w14:textFill>
        </w:rPr>
        <w:t>具备评标专业知识的业主</w:t>
      </w:r>
      <w:r>
        <w:rPr>
          <w:rFonts w:hint="eastAsia" w:ascii="仿宋_GB2312" w:hAnsi="仿宋_GB2312" w:eastAsia="仿宋_GB2312" w:cs="仿宋_GB2312"/>
          <w:color w:val="000000" w:themeColor="text1"/>
          <w:sz w:val="32"/>
          <w:szCs w:val="32"/>
          <w14:textFill>
            <w14:solidFill>
              <w14:schemeClr w14:val="tx1"/>
            </w14:solidFill>
          </w14:textFill>
        </w:rPr>
        <w:t>代表参加评标委员会</w:t>
      </w:r>
      <w:r>
        <w:rPr>
          <w:rFonts w:hint="eastAsia" w:ascii="仿宋_GB2312" w:hAnsi="仿宋_GB2312" w:eastAsia="仿宋_GB2312" w:cs="仿宋_GB2312"/>
          <w:color w:val="000000" w:themeColor="text1"/>
          <w:sz w:val="32"/>
          <w:szCs w:val="32"/>
          <w:lang w:eastAsia="zh-CN"/>
          <w14:textFill>
            <w14:solidFill>
              <w14:schemeClr w14:val="tx1"/>
            </w14:solidFill>
          </w14:textFill>
        </w:rPr>
        <w:t>，但行政监督部门的工作人员不得担任由本部门负责监督的项目的评标委员会成员。</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业主评委违反评标纪律，干预、影响其他评标专家正常评标活动，或者在评标过程中存在严重影响其他评标专家公正评标行为的，监管部门工作人员应当及时予以制止，制止无效或者情节严重的，监管部门应当责令其退出评标活动，另行随机抽取评标专家重新进行评标活动。</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第十二条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评标活动结束后，</w:t>
      </w:r>
      <w:r>
        <w:rPr>
          <w:rFonts w:hint="eastAsia" w:ascii="仿宋_GB2312" w:hAnsi="仿宋_GB2312" w:eastAsia="仿宋_GB2312" w:cs="仿宋_GB2312"/>
          <w:color w:val="000000" w:themeColor="text1"/>
          <w:sz w:val="32"/>
          <w:szCs w:val="32"/>
          <w:lang w:eastAsia="zh-CN"/>
          <w14:textFill>
            <w14:solidFill>
              <w14:schemeClr w14:val="tx1"/>
            </w14:solidFill>
          </w14:textFill>
        </w:rPr>
        <w:t>招标人应当自收到评标报告之日起三日内在指定网站公示中标候选人，公示期不得少于三日。公示期结束后无异议的，招标人应当在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七日内将中标通知书发送给中标企业。</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国有投资工程招标代理费用一般应由招标人从项目前期费用中支付，双方约定由中标人支付的，必须在招标文件中予以明确，招标采购代理机构不得乱收费。</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第十三条 </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 xml:space="preserve"> 县公共资源交易监督管理局应加强对评标</w:t>
      </w:r>
      <w:r>
        <w:rPr>
          <w:rFonts w:hint="eastAsia" w:ascii="仿宋_GB2312" w:hAnsi="仿宋_GB2312" w:eastAsia="仿宋_GB2312" w:cs="仿宋_GB2312"/>
          <w:color w:val="000000" w:themeColor="text1"/>
          <w:sz w:val="32"/>
          <w:szCs w:val="32"/>
          <w:lang w:eastAsia="zh-CN"/>
          <w14:textFill>
            <w14:solidFill>
              <w14:schemeClr w14:val="tx1"/>
            </w14:solidFill>
          </w14:textFill>
        </w:rPr>
        <w:t>专家的业务考核和评标现场管理，对评标专家的评标行为实行考核和信用评价，监督人员在评标结束时，对各评标专家的评标行为进行考核并客观记录。对评标专家违反法律法规和招标文件规定评标的行为，交易平台现场见证服务人员、监督人员应当立即报告县公共资源交易监督管理局，及时作出处理。</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第十四条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乡镇人民政府、建设单位和住建、自然资源、水利、交通运输等行业主管部门应当依法切实加强标后监管工作，按照各自职责督促施工企业、监理单位全面履行合同约定。</w:t>
      </w:r>
    </w:p>
    <w:p>
      <w:pPr>
        <w:keepNext w:val="0"/>
        <w:keepLines w:val="0"/>
        <w:pageBreakBefore w:val="0"/>
        <w:widowControl w:val="0"/>
        <w:numPr>
          <w:ilvl w:val="0"/>
          <w:numId w:val="0"/>
        </w:numPr>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第十五条 </w:t>
      </w:r>
      <w:r>
        <w:rPr>
          <w:rFonts w:hint="eastAsia" w:ascii="仿宋_GB2312" w:hAnsi="仿宋_GB2312" w:eastAsia="仿宋_GB2312" w:cs="仿宋_GB2312"/>
          <w:b w:val="0"/>
          <w:i w:val="0"/>
          <w:caps w:val="0"/>
          <w:color w:val="000000" w:themeColor="text1"/>
          <w:spacing w:val="0"/>
          <w:sz w:val="32"/>
          <w:szCs w:val="32"/>
          <w:shd w:val="clear" w:color="auto" w:fill="FFFFFF"/>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招标人、招标代理</w:t>
      </w:r>
      <w:r>
        <w:rPr>
          <w:rFonts w:hint="eastAsia" w:ascii="仿宋_GB2312" w:hAnsi="仿宋_GB2312" w:eastAsia="仿宋_GB2312" w:cs="仿宋_GB2312"/>
          <w:color w:val="000000" w:themeColor="text1"/>
          <w:sz w:val="32"/>
          <w:szCs w:val="32"/>
          <w:lang w:eastAsia="zh-CN"/>
          <w14:textFill>
            <w14:solidFill>
              <w14:schemeClr w14:val="tx1"/>
            </w14:solidFill>
          </w14:textFill>
        </w:rPr>
        <w:t>机构、</w:t>
      </w:r>
      <w:r>
        <w:rPr>
          <w:rFonts w:hint="eastAsia" w:ascii="仿宋_GB2312" w:hAnsi="仿宋_GB2312" w:eastAsia="仿宋_GB2312" w:cs="仿宋_GB2312"/>
          <w:color w:val="000000" w:themeColor="text1"/>
          <w:sz w:val="32"/>
          <w:szCs w:val="32"/>
          <w14:textFill>
            <w14:solidFill>
              <w14:schemeClr w14:val="tx1"/>
            </w14:solidFill>
          </w14:textFill>
        </w:rPr>
        <w:t>评标委员会、</w:t>
      </w:r>
      <w:r>
        <w:rPr>
          <w:rFonts w:hint="eastAsia" w:ascii="仿宋_GB2312" w:hAnsi="仿宋_GB2312" w:eastAsia="仿宋_GB2312" w:cs="仿宋_GB2312"/>
          <w:color w:val="000000" w:themeColor="text1"/>
          <w:sz w:val="32"/>
          <w:szCs w:val="32"/>
          <w:lang w:eastAsia="zh-CN"/>
          <w14:textFill>
            <w14:solidFill>
              <w14:schemeClr w14:val="tx1"/>
            </w14:solidFill>
          </w14:textFill>
        </w:rPr>
        <w:t>公共资源交易平台</w:t>
      </w:r>
      <w:r>
        <w:rPr>
          <w:rFonts w:hint="eastAsia" w:ascii="仿宋_GB2312" w:hAnsi="仿宋_GB2312" w:eastAsia="仿宋_GB2312" w:cs="仿宋_GB2312"/>
          <w:color w:val="000000" w:themeColor="text1"/>
          <w:sz w:val="32"/>
          <w:szCs w:val="32"/>
          <w14:textFill>
            <w14:solidFill>
              <w14:schemeClr w14:val="tx1"/>
            </w14:solidFill>
          </w14:textFill>
        </w:rPr>
        <w:t>等招投标活动</w:t>
      </w:r>
      <w:r>
        <w:rPr>
          <w:rFonts w:hint="eastAsia" w:ascii="仿宋_GB2312" w:hAnsi="仿宋_GB2312" w:eastAsia="仿宋_GB2312" w:cs="仿宋_GB2312"/>
          <w:color w:val="000000" w:themeColor="text1"/>
          <w:sz w:val="32"/>
          <w:szCs w:val="32"/>
          <w:lang w:eastAsia="zh-CN"/>
          <w14:textFill>
            <w14:solidFill>
              <w14:schemeClr w14:val="tx1"/>
            </w14:solidFill>
          </w14:textFill>
        </w:rPr>
        <w:t>参与方</w:t>
      </w:r>
      <w:r>
        <w:rPr>
          <w:rFonts w:hint="eastAsia" w:ascii="仿宋_GB2312" w:hAnsi="仿宋_GB2312" w:eastAsia="仿宋_GB2312" w:cs="仿宋_GB2312"/>
          <w:color w:val="000000" w:themeColor="text1"/>
          <w:sz w:val="32"/>
          <w:szCs w:val="32"/>
          <w14:textFill>
            <w14:solidFill>
              <w14:schemeClr w14:val="tx1"/>
            </w14:solidFill>
          </w14:textFill>
        </w:rPr>
        <w:t>发现</w:t>
      </w:r>
      <w:r>
        <w:rPr>
          <w:rFonts w:hint="eastAsia" w:ascii="仿宋_GB2312" w:hAnsi="仿宋_GB2312" w:eastAsia="仿宋_GB2312" w:cs="仿宋_GB2312"/>
          <w:color w:val="000000" w:themeColor="text1"/>
          <w:sz w:val="32"/>
          <w:szCs w:val="32"/>
          <w:lang w:eastAsia="zh-CN"/>
          <w14:textFill>
            <w14:solidFill>
              <w14:schemeClr w14:val="tx1"/>
            </w14:solidFill>
          </w14:textFill>
        </w:rPr>
        <w:t>有</w:t>
      </w:r>
      <w:r>
        <w:rPr>
          <w:rFonts w:hint="eastAsia" w:ascii="仿宋_GB2312" w:hAnsi="仿宋_GB2312" w:eastAsia="仿宋_GB2312" w:cs="仿宋_GB2312"/>
          <w:color w:val="000000" w:themeColor="text1"/>
          <w:sz w:val="32"/>
          <w:szCs w:val="32"/>
          <w14:textFill>
            <w14:solidFill>
              <w14:schemeClr w14:val="tx1"/>
            </w14:solidFill>
          </w14:textFill>
        </w:rPr>
        <w:t>围标串标</w:t>
      </w:r>
      <w:r>
        <w:rPr>
          <w:rFonts w:hint="eastAsia" w:ascii="仿宋_GB2312" w:hAnsi="仿宋_GB2312" w:eastAsia="仿宋_GB2312" w:cs="仿宋_GB2312"/>
          <w:color w:val="000000" w:themeColor="text1"/>
          <w:sz w:val="32"/>
          <w:szCs w:val="32"/>
          <w:lang w:eastAsia="zh-CN"/>
          <w14:textFill>
            <w14:solidFill>
              <w14:schemeClr w14:val="tx1"/>
            </w14:solidFill>
          </w14:textFill>
        </w:rPr>
        <w:t>、非法转包、借用资质等违法</w:t>
      </w:r>
      <w:r>
        <w:rPr>
          <w:rFonts w:hint="eastAsia" w:ascii="仿宋_GB2312" w:hAnsi="仿宋_GB2312" w:eastAsia="仿宋_GB2312" w:cs="仿宋_GB2312"/>
          <w:color w:val="000000" w:themeColor="text1"/>
          <w:sz w:val="32"/>
          <w:szCs w:val="32"/>
          <w14:textFill>
            <w14:solidFill>
              <w14:schemeClr w14:val="tx1"/>
            </w14:solidFill>
          </w14:textFill>
        </w:rPr>
        <w:t>行为的，应及时向</w:t>
      </w:r>
      <w:r>
        <w:rPr>
          <w:rFonts w:hint="eastAsia" w:ascii="仿宋_GB2312" w:hAnsi="仿宋_GB2312" w:eastAsia="仿宋_GB2312" w:cs="仿宋_GB2312"/>
          <w:color w:val="000000" w:themeColor="text1"/>
          <w:sz w:val="32"/>
          <w:szCs w:val="32"/>
          <w:lang w:eastAsia="zh-CN"/>
          <w14:textFill>
            <w14:solidFill>
              <w14:schemeClr w14:val="tx1"/>
            </w14:solidFill>
          </w14:textFill>
        </w:rPr>
        <w:t>县公共资源监督管理局或相关</w:t>
      </w:r>
      <w:r>
        <w:rPr>
          <w:rFonts w:hint="eastAsia" w:ascii="仿宋_GB2312" w:hAnsi="仿宋_GB2312" w:eastAsia="仿宋_GB2312" w:cs="仿宋_GB2312"/>
          <w:color w:val="000000" w:themeColor="text1"/>
          <w:sz w:val="32"/>
          <w:szCs w:val="32"/>
          <w14:textFill>
            <w14:solidFill>
              <w14:schemeClr w14:val="tx1"/>
            </w14:solidFill>
          </w14:textFill>
        </w:rPr>
        <w:t>行政监督部门报告，经调查核实后，依法予以处</w:t>
      </w:r>
      <w:r>
        <w:rPr>
          <w:rFonts w:hint="eastAsia" w:ascii="仿宋_GB2312" w:hAnsi="仿宋_GB2312" w:eastAsia="仿宋_GB2312" w:cs="仿宋_GB2312"/>
          <w:color w:val="000000" w:themeColor="text1"/>
          <w:sz w:val="32"/>
          <w:szCs w:val="32"/>
          <w:lang w:eastAsia="zh-CN"/>
          <w14:textFill>
            <w14:solidFill>
              <w14:schemeClr w14:val="tx1"/>
            </w14:solidFill>
          </w14:textFill>
        </w:rPr>
        <w:t>罚、处理并进行信用评价。</w:t>
      </w:r>
      <w:r>
        <w:rPr>
          <w:rFonts w:hint="eastAsia" w:ascii="仿宋_GB2312" w:hAnsi="仿宋_GB2312" w:eastAsia="仿宋_GB2312" w:cs="仿宋_GB2312"/>
          <w:color w:val="000000" w:themeColor="text1"/>
          <w:sz w:val="32"/>
          <w:szCs w:val="32"/>
          <w14:textFill>
            <w14:solidFill>
              <w14:schemeClr w14:val="tx1"/>
            </w14:solidFill>
          </w14:textFill>
        </w:rPr>
        <w:t>评标委员会评标时对围标串标行为发现不力或者发现后不依法处置，对评标结果产生重大影响的，视情况给予暂停或取消评标专家资格。</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Style w:val="9"/>
          <w:rFonts w:hint="eastAsia" w:ascii="黑体" w:hAnsi="黑体" w:eastAsia="黑体" w:cs="黑体"/>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 xml:space="preserve">第十六条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实行违规插手、干预招投标活动“</w:t>
      </w:r>
      <w:r>
        <w:rPr>
          <w:rFonts w:hint="eastAsia" w:ascii="仿宋_GB2312" w:hAnsi="仿宋_GB2312" w:eastAsia="仿宋_GB2312" w:cs="仿宋_GB2312"/>
          <w:color w:val="000000" w:themeColor="text1"/>
          <w:sz w:val="32"/>
          <w:szCs w:val="32"/>
          <w14:textFill>
            <w14:solidFill>
              <w14:schemeClr w14:val="tx1"/>
            </w14:solidFill>
          </w14:textFill>
        </w:rPr>
        <w:t>痕迹化管理</w:t>
      </w:r>
      <w:r>
        <w:rPr>
          <w:rFonts w:hint="eastAsia" w:ascii="仿宋_GB2312" w:hAnsi="仿宋_GB2312" w:eastAsia="仿宋_GB2312" w:cs="仿宋_GB2312"/>
          <w:color w:val="000000" w:themeColor="text1"/>
          <w:sz w:val="32"/>
          <w:szCs w:val="32"/>
          <w:lang w:eastAsia="zh-CN"/>
          <w14:textFill>
            <w14:solidFill>
              <w14:schemeClr w14:val="tx1"/>
            </w14:solidFill>
          </w14:textFill>
        </w:rPr>
        <w:t>”制。招投标监管</w:t>
      </w:r>
      <w:r>
        <w:rPr>
          <w:rFonts w:hint="eastAsia" w:ascii="仿宋_GB2312" w:hAnsi="仿宋_GB2312" w:eastAsia="仿宋_GB2312" w:cs="仿宋_GB2312"/>
          <w:color w:val="000000" w:themeColor="text1"/>
          <w:sz w:val="32"/>
          <w:szCs w:val="32"/>
          <w14:textFill>
            <w14:solidFill>
              <w14:schemeClr w14:val="tx1"/>
            </w14:solidFill>
          </w14:textFill>
        </w:rPr>
        <w:t>部门和</w:t>
      </w:r>
      <w:r>
        <w:rPr>
          <w:rFonts w:hint="eastAsia" w:ascii="仿宋_GB2312" w:hAnsi="仿宋_GB2312" w:eastAsia="仿宋_GB2312" w:cs="仿宋_GB2312"/>
          <w:color w:val="000000" w:themeColor="text1"/>
          <w:sz w:val="32"/>
          <w:szCs w:val="32"/>
          <w:lang w:eastAsia="zh-CN"/>
          <w14:textFill>
            <w14:solidFill>
              <w14:schemeClr w14:val="tx1"/>
            </w14:solidFill>
          </w14:textFill>
        </w:rPr>
        <w:t>相关</w:t>
      </w:r>
      <w:r>
        <w:rPr>
          <w:rFonts w:hint="eastAsia" w:ascii="仿宋_GB2312" w:hAnsi="仿宋_GB2312" w:eastAsia="仿宋_GB2312" w:cs="仿宋_GB2312"/>
          <w:color w:val="000000" w:themeColor="text1"/>
          <w:sz w:val="32"/>
          <w:szCs w:val="32"/>
          <w14:textFill>
            <w14:solidFill>
              <w14:schemeClr w14:val="tx1"/>
            </w14:solidFill>
          </w14:textFill>
        </w:rPr>
        <w:t>单位对任何时间</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在任何地点</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以任何形式干预和插手政府投资项目招投标活动的人员及其行为均要</w:t>
      </w:r>
      <w:r>
        <w:rPr>
          <w:rFonts w:hint="eastAsia" w:ascii="仿宋_GB2312" w:hAnsi="仿宋_GB2312" w:eastAsia="仿宋_GB2312" w:cs="仿宋_GB2312"/>
          <w:color w:val="000000" w:themeColor="text1"/>
          <w:sz w:val="32"/>
          <w:szCs w:val="32"/>
          <w:lang w:eastAsia="zh-CN"/>
          <w14:textFill>
            <w14:solidFill>
              <w14:schemeClr w14:val="tx1"/>
            </w14:solidFill>
          </w14:textFill>
        </w:rPr>
        <w:t>如实</w:t>
      </w:r>
      <w:r>
        <w:rPr>
          <w:rFonts w:hint="eastAsia" w:ascii="仿宋_GB2312" w:hAnsi="仿宋_GB2312" w:eastAsia="仿宋_GB2312" w:cs="仿宋_GB2312"/>
          <w:color w:val="000000" w:themeColor="text1"/>
          <w:sz w:val="32"/>
          <w:szCs w:val="32"/>
          <w14:textFill>
            <w14:solidFill>
              <w14:schemeClr w14:val="tx1"/>
            </w14:solidFill>
          </w14:textFill>
        </w:rPr>
        <w:t>记</w:t>
      </w:r>
      <w:r>
        <w:rPr>
          <w:rFonts w:hint="eastAsia" w:ascii="仿宋_GB2312" w:hAnsi="仿宋_GB2312" w:eastAsia="仿宋_GB2312" w:cs="仿宋_GB2312"/>
          <w:color w:val="000000" w:themeColor="text1"/>
          <w:sz w:val="32"/>
          <w:szCs w:val="32"/>
          <w:lang w:eastAsia="zh-CN"/>
          <w14:textFill>
            <w14:solidFill>
              <w14:schemeClr w14:val="tx1"/>
            </w14:solidFill>
          </w14:textFill>
        </w:rPr>
        <w:t>录</w:t>
      </w:r>
      <w:r>
        <w:rPr>
          <w:rFonts w:hint="eastAsia" w:ascii="仿宋_GB2312" w:hAnsi="仿宋_GB2312" w:eastAsia="仿宋_GB2312" w:cs="仿宋_GB2312"/>
          <w:color w:val="000000" w:themeColor="text1"/>
          <w:sz w:val="32"/>
          <w:szCs w:val="32"/>
          <w14:textFill>
            <w14:solidFill>
              <w14:schemeClr w14:val="tx1"/>
            </w14:solidFill>
          </w14:textFill>
        </w:rPr>
        <w:t>在案。</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textAlignment w:val="auto"/>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县公共资源交易监督管理局牵头建立招标采购领域优化营商环境和违法违规行为统一举报投诉平台，与纪检监察、公安及相关行业监管部门建立转办协作机制。投诉举报应当实事求是，依法依规，不得为了达到非法目的捏造事实，诬告陷害。</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当事人未依法行使招标采购等法律法规规定的异议（质疑）、投诉等法定权利，以匿名信访等方式举报反映应当由异议（质疑）、投诉等法定程序依法解决的问题的，应按信访程序进行调查处理，不得仅以此为由暂停、终止招标活动，经调查，招标投标活动确实存在违反招标投标法和相关规定，对中标结果造成实质影响，且不能采取补救措施予以纠正的，县公共资源交易监督管理局可以采取暂停招标或者宣布招标、投标、中标无效等措施，责令重新招标或者评标。</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第十七条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县公共资源交易监督管理委员会一般每年召开一次全体会议，每季度召开一次联席会议，听取各成员单位履行招投标监管职责情况述职，研究重点工作，对应招标未招标、违规招标、插手干预工程的单位及个人予以通报或研究处理意见。</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县公共资源交易监督管理委员会办公室可以定期组织招投标行政监督管理部门进行市场巡查，督办查处、移送移交相关案件及线索，通报全县招投标市场监管、运行及各部门、乡镇履职尽责和案件查处情况。</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县公共资源交易监督管理局和发改、住建、水利、交通运输、自然资源、市场监管等部门应当</w:t>
      </w:r>
      <w:r>
        <w:rPr>
          <w:rFonts w:hint="eastAsia" w:ascii="仿宋_GB2312" w:hAnsi="仿宋_GB2312" w:eastAsia="仿宋_GB2312" w:cs="仿宋_GB2312"/>
          <w:color w:val="000000" w:themeColor="text1"/>
          <w:sz w:val="32"/>
          <w:szCs w:val="32"/>
          <w14:textFill>
            <w14:solidFill>
              <w14:schemeClr w14:val="tx1"/>
            </w14:solidFill>
          </w14:textFill>
        </w:rPr>
        <w:t>建立招投标</w:t>
      </w:r>
      <w:r>
        <w:rPr>
          <w:rFonts w:hint="eastAsia" w:ascii="仿宋_GB2312" w:hAnsi="仿宋_GB2312" w:eastAsia="仿宋_GB2312" w:cs="仿宋_GB2312"/>
          <w:color w:val="000000" w:themeColor="text1"/>
          <w:sz w:val="32"/>
          <w:szCs w:val="32"/>
          <w:lang w:eastAsia="zh-CN"/>
          <w14:textFill>
            <w14:solidFill>
              <w14:schemeClr w14:val="tx1"/>
            </w14:solidFill>
          </w14:textFill>
        </w:rPr>
        <w:t>信息共享、执法联动、</w:t>
      </w:r>
      <w:r>
        <w:rPr>
          <w:rFonts w:hint="eastAsia" w:ascii="仿宋_GB2312" w:hAnsi="仿宋_GB2312" w:eastAsia="仿宋_GB2312" w:cs="仿宋_GB2312"/>
          <w:color w:val="000000" w:themeColor="text1"/>
          <w:sz w:val="32"/>
          <w:szCs w:val="32"/>
          <w14:textFill>
            <w14:solidFill>
              <w14:schemeClr w14:val="tx1"/>
            </w14:solidFill>
          </w14:textFill>
        </w:rPr>
        <w:t>案件移送和处罚结果公告制</w:t>
      </w:r>
      <w:r>
        <w:rPr>
          <w:rFonts w:hint="eastAsia" w:ascii="仿宋_GB2312" w:hAnsi="仿宋_GB2312" w:eastAsia="仿宋_GB2312" w:cs="仿宋_GB2312"/>
          <w:color w:val="000000" w:themeColor="text1"/>
          <w:sz w:val="32"/>
          <w:szCs w:val="32"/>
          <w:lang w:eastAsia="zh-CN"/>
          <w14:textFill>
            <w14:solidFill>
              <w14:schemeClr w14:val="tx1"/>
            </w14:solidFill>
          </w14:textFill>
        </w:rPr>
        <w:t>度</w:t>
      </w:r>
      <w:r>
        <w:rPr>
          <w:rFonts w:hint="eastAsia" w:ascii="仿宋_GB2312" w:hAnsi="仿宋_GB2312" w:eastAsia="仿宋_GB2312" w:cs="仿宋_GB2312"/>
          <w:color w:val="000000" w:themeColor="text1"/>
          <w:sz w:val="32"/>
          <w:szCs w:val="32"/>
          <w14:textFill>
            <w14:solidFill>
              <w14:schemeClr w14:val="tx1"/>
            </w14:solidFill>
          </w14:textFill>
        </w:rPr>
        <w:t>，对完成行政处罚的招投标违法案件及时向社会进行公告。</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第十八条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 推行工程建设领域担保制度，招标人及代理机构不得以任何理由拒收保函。投标人可根据需要，自愿选择交纳保证金方式。投标人和保函出具机构为保函的真实性和合法性负责。</w:t>
      </w:r>
    </w:p>
    <w:p>
      <w:pPr>
        <w:pStyle w:val="5"/>
        <w:keepNext w:val="0"/>
        <w:keepLines w:val="0"/>
        <w:pageBreakBefore w:val="0"/>
        <w:widowControl w:val="0"/>
        <w:suppressLineNumbers w:val="0"/>
        <w:shd w:val="clear"/>
        <w:kinsoku/>
        <w:wordWrap/>
        <w:overflowPunct/>
        <w:topLinePunct w:val="0"/>
        <w:autoSpaceDE/>
        <w:autoSpaceDN/>
        <w:bidi w:val="0"/>
        <w:adjustRightInd/>
        <w:snapToGrid/>
        <w:spacing w:before="0" w:beforeAutospacing="0" w:after="0" w:afterAutospacing="0" w:line="560" w:lineRule="exact"/>
        <w:ind w:left="0" w:right="0" w:firstLine="64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第十九条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中央投资项目（含国债项目）或省级以上专项资金项目有特殊规定的，按其规定执行；</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省级及以上</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行业主管部门另有规定的，从其规定。</w:t>
      </w:r>
    </w:p>
    <w:p>
      <w:pPr>
        <w:pStyle w:val="5"/>
        <w:keepNext w:val="0"/>
        <w:keepLines w:val="0"/>
        <w:pageBreakBefore w:val="0"/>
        <w:widowControl w:val="0"/>
        <w:numPr>
          <w:ilvl w:val="0"/>
          <w:numId w:val="0"/>
        </w:numPr>
        <w:suppressLineNumbers w:val="0"/>
        <w:shd w:val="clear"/>
        <w:kinsoku/>
        <w:wordWrap/>
        <w:overflowPunct/>
        <w:topLinePunct w:val="0"/>
        <w:autoSpaceDE/>
        <w:autoSpaceDN/>
        <w:bidi w:val="0"/>
        <w:adjustRightInd/>
        <w:snapToGrid/>
        <w:spacing w:before="0" w:beforeAutospacing="0" w:after="0" w:afterAutospacing="0" w:line="560" w:lineRule="exact"/>
        <w:ind w:left="0" w:right="0" w:rightChars="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第二十条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val="en-US" w:eastAsia="zh-CN"/>
          <w14:textFill>
            <w14:solidFill>
              <w14:schemeClr w14:val="tx1"/>
            </w14:solidFill>
          </w14:textFill>
        </w:rPr>
        <w:t>本办法由县公共资源交易监督管理委员会办公室负责解释，县公共资源交易监督管理委员会办公室可根据本办法制定实施意见或作出补充规定。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Style w:val="9"/>
          <w:rFonts w:hint="eastAsia" w:ascii="仿宋_GB2312" w:hAnsi="仿宋_GB2312" w:eastAsia="仿宋_GB2312" w:cs="仿宋_GB2312"/>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pPr>
      <w:r>
        <w:rPr>
          <w:rStyle w:val="9"/>
          <w:rFonts w:hint="eastAsia" w:ascii="黑体" w:hAnsi="黑体" w:eastAsia="黑体" w:cs="黑体"/>
          <w:b w:val="0"/>
          <w:bCs w:val="0"/>
          <w:i w:val="0"/>
          <w:caps w:val="0"/>
          <w:color w:val="000000" w:themeColor="text1"/>
          <w:spacing w:val="0"/>
          <w:sz w:val="32"/>
          <w:szCs w:val="32"/>
          <w:shd w:val="clear" w:color="auto" w:fill="FFFFFF"/>
          <w:lang w:val="en-US" w:eastAsia="zh-CN"/>
          <w14:textFill>
            <w14:solidFill>
              <w14:schemeClr w14:val="tx1"/>
            </w14:solidFill>
          </w14:textFill>
        </w:rPr>
        <w:t xml:space="preserve">第二十一条  </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本</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办法</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14:textFill>
            <w14:solidFill>
              <w14:schemeClr w14:val="tx1"/>
            </w14:solidFill>
          </w14:textFill>
        </w:rPr>
        <w:t>自发布之日起施行</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w:t>
      </w:r>
      <w:r>
        <w:rPr>
          <w:rStyle w:val="9"/>
          <w:rFonts w:hint="eastAsia" w:ascii="仿宋_GB2312" w:hAnsi="仿宋_GB2312" w:eastAsia="仿宋_GB2312" w:cs="仿宋_GB2312"/>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县人民政府关于印发〈保康县国有投资建设工程项目监督管理办法〉的通知》（保政发〔2018〕7号）、《县人民政府关于印发保康县小型工程建设项目招标投标管理办法（试行）的通知》（保政发〔2018〕21号）、《县人民政府关于修改〈保康县国有投资建设工程项目监督管理办法〉的通知》（保政发〔2019〕14号）同时废止。</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right="0" w:rightChars="0" w:firstLine="640" w:firstLineChars="200"/>
        <w:jc w:val="left"/>
        <w:textAlignment w:val="auto"/>
        <w:outlineLvl w:val="9"/>
        <w:rPr>
          <w:rStyle w:val="9"/>
          <w:rFonts w:hint="eastAsia" w:ascii="仿宋_GB2312" w:hAnsi="仿宋_GB2312" w:eastAsia="仿宋_GB2312" w:cs="仿宋_GB2312"/>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pPr>
      <w:r>
        <w:rPr>
          <w:rStyle w:val="9"/>
          <w:rFonts w:hint="eastAsia" w:ascii="仿宋_GB2312" w:hAnsi="仿宋_GB2312" w:eastAsia="仿宋_GB2312" w:cs="仿宋_GB2312"/>
          <w:b w:val="0"/>
          <w:bCs w:val="0"/>
          <w:i w:val="0"/>
          <w:caps w:val="0"/>
          <w:color w:val="000000" w:themeColor="text1"/>
          <w:spacing w:val="0"/>
          <w:kern w:val="0"/>
          <w:sz w:val="32"/>
          <w:szCs w:val="32"/>
          <w:shd w:val="clear" w:color="auto" w:fill="FFFFFF"/>
          <w:lang w:val="en-US" w:eastAsia="zh-CN" w:bidi="ar-SA"/>
          <w14:textFill>
            <w14:solidFill>
              <w14:schemeClr w14:val="tx1"/>
            </w14:solidFill>
          </w14:textFill>
        </w:rPr>
        <w:t>本办法</w:t>
      </w:r>
      <w:r>
        <w:rPr>
          <w:rStyle w:val="9"/>
          <w:rFonts w:hint="eastAsia" w:ascii="仿宋_GB2312" w:hAnsi="仿宋_GB2312" w:eastAsia="仿宋_GB2312" w:cs="仿宋_GB2312"/>
          <w:b w:val="0"/>
          <w:bCs w:val="0"/>
          <w:i w:val="0"/>
          <w:caps w:val="0"/>
          <w:color w:val="000000" w:themeColor="text1"/>
          <w:spacing w:val="0"/>
          <w:sz w:val="32"/>
          <w:szCs w:val="32"/>
          <w:shd w:val="clear" w:color="auto" w:fill="FFFFFF"/>
          <w:lang w:eastAsia="zh-CN"/>
          <w14:textFill>
            <w14:solidFill>
              <w14:schemeClr w14:val="tx1"/>
            </w14:solidFill>
          </w14:textFill>
        </w:rPr>
        <w:t>有效期为五年。其间国家、省、市有新的规定的，从其规定。</w:t>
      </w: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6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8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58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shd w:val="clear"/>
        <w:kinsoku/>
        <w:wordWrap/>
        <w:overflowPunct/>
        <w:topLinePunct w:val="0"/>
        <w:autoSpaceDE/>
        <w:autoSpaceDN/>
        <w:bidi w:val="0"/>
        <w:adjustRightInd/>
        <w:snapToGrid/>
        <w:spacing w:beforeAutospacing="0" w:afterAutospacing="0" w:line="600" w:lineRule="exact"/>
        <w:ind w:left="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 w:hAnsi="仿宋" w:eastAsia="仿宋"/>
          <w:sz w:val="32"/>
          <w:szCs w:val="32"/>
        </w:rPr>
      </w:pPr>
    </w:p>
    <w:p>
      <w:pPr>
        <w:snapToGrid w:val="0"/>
        <w:spacing w:line="560" w:lineRule="exact"/>
        <w:rPr>
          <w:rFonts w:hint="eastAsia" w:ascii="仿宋_GB2312" w:hAnsi="仿宋_GB2312" w:eastAsia="仿宋_GB2312" w:cs="仿宋_GB2312"/>
          <w:w w:val="90"/>
          <w:kern w:val="0"/>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56515</wp:posOffset>
                </wp:positionV>
                <wp:extent cx="5819140" cy="635"/>
                <wp:effectExtent l="0" t="0" r="0" b="0"/>
                <wp:wrapNone/>
                <wp:docPr id="6" name="直接连接符 6"/>
                <wp:cNvGraphicFramePr/>
                <a:graphic xmlns:a="http://schemas.openxmlformats.org/drawingml/2006/main">
                  <a:graphicData uri="http://schemas.microsoft.com/office/word/2010/wordprocessingShape">
                    <wps:wsp>
                      <wps:cNvCnPr/>
                      <wps:spPr>
                        <a:xfrm>
                          <a:off x="0" y="0"/>
                          <a:ext cx="5819140"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4.45pt;height:0.05pt;width:458.2pt;z-index:251660288;mso-width-relative:page;mso-height-relative:page;" filled="f" stroked="t" coordsize="21600,21600" o:gfxdata="UEsDBAoAAAAAAIdO4kAAAAAAAAAAAAAAAAAEAAAAZHJzL1BLAwQUAAAACACHTuJAPAA0HNQAAAAE&#10;AQAADwAAAGRycy9kb3ducmV2LnhtbE2PzU7DMBCE70i8g7VIXCpqp6CqTeP0AOTGhRbEdRtvk4h4&#10;ncbuDzw9ywluO5rRzLfF+uJ7daIxdoEtZFMDirgOruPGwtu2uluAignZYR+YLHxRhHV5fVVg7sKZ&#10;X+m0SY2SEo45WmhTGnKtY92SxzgNA7F4+zB6TCLHRrsRz1Luez0zZq49diwLLQ702FL9uTl6C7F6&#10;p0P1Pakn5uO+CTQ7PL08o7W3N5lZgUp0SX9h+MUXdCiFaReO7KLqLcgjycJiCUrMZTZ/ALWTw4Au&#10;C/0fvvwBUEsDBBQAAAAIAIdO4kBPMDQz+wEAAPQDAAAOAAAAZHJzL2Uyb0RvYy54bWytU82O0zAQ&#10;viPxDpbvNG2h1W7UdA9blguCSsADTB0nseQ/edymfQleAIkbnDhy5212eQzGTliW5dIDOThjz+fP&#10;830er66ORrODDKicrfhsMuVMWuFqZduKf3h/8+yCM4xga9DOyoqfJPKr9dMnq96Xcu46p2sZGJFY&#10;LHtf8S5GXxYFik4awInz0lKyccFApGloizpAT+xGF/PpdFn0LtQ+OCERaXUzJPnIGM4hdE2jhNw4&#10;sTfSxoE1SA2RJGGnPPJ1rrZppIhvmwZlZLripDTmkQ6heJfGYr2Csg3gOyXGEuCcEh5pMqAsHXpP&#10;tYEIbB/UP1RGieDQNXEinCkGIdkRUjGbPvLmXQdeZi1kNfp70/H/0Yo3h21gqq74kjMLhi787tP3&#10;249ffv74TOPdt69smUzqPZaEvbbbMM7Qb0NSfGyCSX/Swo7Z2NO9sfIYmaDFxcXscvaCPBeUWz5f&#10;JMbiz1YfML6SzrAUVFwrm1RDCYfXGAfob0ha1pb1Fb9czBdECNSCDV09hcaTDLRt3otOq/pGaZ12&#10;YGh31zqwA6Q2yN9Ywl+wdMgGsBtwOZVgUHYS6pe2ZvHkySBL74KnEoysOdOSnlGKMjKC0ucgSb22&#10;iVrmJh11JpcHX1O0c/WJLmfvg2o78mWWa04ZaoZs4Ni4qdsezil++FjX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8ADQc1AAAAAQBAAAPAAAAAAAAAAEAIAAAACIAAABkcnMvZG93bnJldi54bWxQ&#10;SwECFAAUAAAACACHTuJATzA0M/sBAAD0AwAADgAAAAAAAAABACAAAAAjAQAAZHJzL2Uyb0RvYy54&#10;bWxQSwUGAAAAAAYABgBZAQAAkAUAAAAA&#10;">
                <v:fill on="f" focussize="0,0"/>
                <v:stroke color="#000000" joinstyle="round"/>
                <v:imagedata o:title=""/>
                <o:lock v:ext="edit" aspectratio="f"/>
              </v:line>
            </w:pict>
          </mc:Fallback>
        </mc:AlternateContent>
      </w:r>
      <w:r>
        <w:rPr>
          <w:rFonts w:hint="eastAsia" w:ascii="仿宋_GB2312" w:hAnsi="仿宋_GB2312" w:eastAsia="仿宋_GB2312" w:cs="仿宋_GB2312"/>
          <w:w w:val="90"/>
          <w:kern w:val="0"/>
          <w:sz w:val="28"/>
          <w:szCs w:val="28"/>
        </w:rPr>
        <w:t>抄送：县委各部门，县人武部，各人民团体。</w:t>
      </w:r>
    </w:p>
    <w:p>
      <w:pPr>
        <w:snapToGrid w:val="0"/>
        <w:spacing w:line="360" w:lineRule="exact"/>
        <w:ind w:left="1107" w:hanging="1108" w:hangingChars="440"/>
        <w:rPr>
          <w:rFonts w:hint="eastAsia" w:ascii="仿宋_GB2312" w:hAnsi="仿宋_GB2312" w:eastAsia="仿宋_GB2312" w:cs="仿宋_GB2312"/>
          <w:kern w:val="0"/>
          <w:sz w:val="28"/>
          <w:szCs w:val="28"/>
        </w:rPr>
      </w:pPr>
      <w:r>
        <w:rPr>
          <w:rFonts w:hint="eastAsia" w:ascii="仿宋_GB2312" w:hAnsi="仿宋_GB2312" w:eastAsia="仿宋_GB2312" w:cs="仿宋_GB2312"/>
          <w:w w:val="90"/>
          <w:sz w:val="28"/>
          <w:szCs w:val="28"/>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223520</wp:posOffset>
                </wp:positionV>
                <wp:extent cx="5819140" cy="635"/>
                <wp:effectExtent l="0" t="0" r="0" b="0"/>
                <wp:wrapNone/>
                <wp:docPr id="7" name="直接连接符 7"/>
                <wp:cNvGraphicFramePr/>
                <a:graphic xmlns:a="http://schemas.openxmlformats.org/drawingml/2006/main">
                  <a:graphicData uri="http://schemas.microsoft.com/office/word/2010/wordprocessingShape">
                    <wps:wsp>
                      <wps:cNvCnPr/>
                      <wps:spPr>
                        <a:xfrm>
                          <a:off x="0" y="0"/>
                          <a:ext cx="5819140"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5pt;margin-top:17.6pt;height:0.05pt;width:458.2pt;z-index:251661312;mso-width-relative:page;mso-height-relative:page;" filled="f" stroked="t" coordsize="21600,21600" o:gfxdata="UEsDBAoAAAAAAIdO4kAAAAAAAAAAAAAAAAAEAAAAZHJzL1BLAwQUAAAACACHTuJAoZTYg9cAAAAI&#10;AQAADwAAAGRycy9kb3ducmV2LnhtbE2PzU7DMBCE75X6DtYicalaO0mLaIjTQyE3LhQQ1228JBHx&#10;Oo3dH3h63BMcZ2c0822xudhenGj0nWMNyUKBIK6d6bjR8PZaze9B+IBssHdMGr7Jw6acTgrMjTvz&#10;C512oRGxhH2OGtoQhlxKX7dk0S/cQBy9TzdaDFGOjTQjnmO57WWq1J202HFcaHGgbUv11+5oNfjq&#10;nQ7Vz6yeqY+scZQeHp+fUOvbm0Q9gAh0CX9huOJHdCgj094d2XjRa5gnq5jUkK1SENFfJ8s1iP31&#10;kIEsC/n/gfIXUEsDBBQAAAAIAIdO4kBPxh87+wEAAPQDAAAOAAAAZHJzL2Uyb0RvYy54bWytU0uO&#10;EzEQ3SNxB8t70kkg82mlM4sJwwZBJOAAFbe725J/cjnp5BJcAIkdrFiyn9swHIOyuwnDsJkFvXCX&#10;Xc/P9Z7Ly6uD0WwvAypnKz6bTDmTVrha2bbiH97fPLvgDCPYGrSzsuJHifxq9fTJsvelnLvO6VoG&#10;RiQWy95XvIvRl0WBopMGcOK8tJRsXDAQaRraog7QE7vRxXw6PSt6F2ofnJCItLoeknxkDI8hdE2j&#10;hFw7sTPSxoE1SA2RJGGnPPJVrrZppIhvmwZlZLripDTmkQ6heJvGYrWEsg3gOyXGEuAxJTzQZEBZ&#10;OvREtYYIbBfUP1RGieDQNXEinCkGIdkRUjGbPvDmXQdeZi1kNfqT6fj/aMWb/SYwVVf8nDMLhi78&#10;7tP3Hx+//Lz9TOPdt6/sPJnUeywJe203YZyh34Sk+NAEk/6khR2ysceTsfIQmaDFxcXscvaCPBeU&#10;O3u+SIzFn60+YHwlnWEpqLhWNqmGEvavMQ7Q35C0rC3rK365mC+IEKgFG7p6Co0nGWjbvBedVvWN&#10;0jrtwNBur3Vge0htkL+xhL9g6ZA1YDfgcirBoOwk1C9tzeLRk0GW3gVPJRhZc6YlPaMUZWQEpR+D&#10;JPXaJmqZm3TUmVwefE3R1tVHupydD6rtyJdZrjllqBmygWPjpm67P6f4/mNd/Q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hlNiD1wAAAAgBAAAPAAAAAAAAAAEAIAAAACIAAABkcnMvZG93bnJldi54&#10;bWxQSwECFAAUAAAACACHTuJAT8YfO/sBAAD0AwAADgAAAAAAAAABACAAAAAmAQAAZHJzL2Uyb0Rv&#10;Yy54bWxQSwUGAAAAAAYABgBZAQAAkwUAAAAA&#10;">
                <v:fill on="f" focussize="0,0"/>
                <v:stroke color="#000000" joinstyle="round"/>
                <v:imagedata o:title=""/>
                <o:lock v:ext="edit" aspectratio="f"/>
              </v:line>
            </w:pict>
          </mc:Fallback>
        </mc:AlternateContent>
      </w:r>
      <w:r>
        <w:rPr>
          <w:rFonts w:hint="eastAsia" w:ascii="仿宋_GB2312" w:hAnsi="仿宋_GB2312" w:eastAsia="仿宋_GB2312" w:cs="仿宋_GB2312"/>
          <w:w w:val="90"/>
          <w:kern w:val="0"/>
          <w:sz w:val="28"/>
          <w:szCs w:val="28"/>
        </w:rPr>
        <w:t xml:space="preserve">      县人大常委会办公室，县政协办公室，县监察委，县法院，县检察院。 </w:t>
      </w:r>
      <w:r>
        <w:rPr>
          <w:rFonts w:hint="eastAsia" w:ascii="仿宋_GB2312" w:hAnsi="仿宋_GB2312" w:eastAsia="仿宋_GB2312" w:cs="仿宋_GB2312"/>
          <w:kern w:val="0"/>
          <w:sz w:val="28"/>
          <w:szCs w:val="28"/>
        </w:rPr>
        <w:t xml:space="preserve">  </w:t>
      </w:r>
    </w:p>
    <w:p>
      <w:pPr>
        <w:snapToGrid w:val="0"/>
        <w:spacing w:line="380" w:lineRule="exac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-9525</wp:posOffset>
                </wp:positionH>
                <wp:positionV relativeFrom="paragraph">
                  <wp:posOffset>262890</wp:posOffset>
                </wp:positionV>
                <wp:extent cx="5800725" cy="635"/>
                <wp:effectExtent l="0" t="0" r="0" b="0"/>
                <wp:wrapNone/>
                <wp:docPr id="8" name="直接连接符 8"/>
                <wp:cNvGraphicFramePr/>
                <a:graphic xmlns:a="http://schemas.openxmlformats.org/drawingml/2006/main">
                  <a:graphicData uri="http://schemas.microsoft.com/office/word/2010/wordprocessingShape">
                    <wps:wsp>
                      <wps:cNvCnPr/>
                      <wps:spPr>
                        <a:xfrm>
                          <a:off x="0" y="0"/>
                          <a:ext cx="5800725"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75pt;margin-top:20.7pt;height:0.05pt;width:456.75pt;z-index:251662336;mso-width-relative:page;mso-height-relative:page;" filled="f" stroked="t" coordsize="21600,21600" o:gfxdata="UEsDBAoAAAAAAIdO4kAAAAAAAAAAAAAAAAAEAAAAZHJzL1BLAwQUAAAACACHTuJAWW13IdYAAAAI&#10;AQAADwAAAGRycy9kb3ducmV2LnhtbE2PzU7DMBCE70i8g7VIXKrWdmgrCHF6AHLjQgH16sZLEhGv&#10;09j9gadneyrHnRnNflOsTr4XBxxjF8iAnikQSHVwHTUGPt6r6T2ImCw52wdCAz8YYVVeXxU2d+FI&#10;b3hYp0ZwCcXcGmhTGnIpY92it3EWBiT2vsLobeJzbKQb7ZHLfS8zpZbS2474Q2sHfGqx/l7vvYFY&#10;feKu+p3UE7W5awJmu+fXF2vM7Y1WjyASntIlDGd8RoeSmbZhTy6K3sBULzhpYK7nINh/0Blv256F&#10;BciykP8HlH9QSwMEFAAAAAgAh07iQB9Fco75AQAA9AMAAA4AAABkcnMvZTJvRG9jLnhtbK1TzY7T&#10;MBC+I/EOlu80aVGXEjXdw5blgqAS8ABTx2ks+U8et2lfghdA4gYnjtx5G5bHYOyEsiyXHsjBGXs+&#10;f57v83h5fTSaHWRA5WzNp5OSM2mFa5Td1fz9u9snC84wgm1AOytrfpLIr1ePHy17X8mZ65xuZGBE&#10;YrHqfc27GH1VFCg6aQAnzktLydYFA5GmYVc0AXpiN7qYleVV0bvQ+OCERKTV9ZDkI2O4hNC1rRJy&#10;7cTeSBsH1iA1RJKEnfLIV7natpUivmlblJHpmpPSmEc6hOJtGovVEqpdAN8pMZYAl5TwQJMBZenQ&#10;M9UaIrB9UP9QGSWCQ9fGiXCmGIRkR0jFtHzgzdsOvMxayGr0Z9Px/9GK14dNYKqpOV27BUMXfvfx&#10;248Pn39+/0Tj3dcvbJFM6j1WhL2xmzDO0G9CUnxsg0l/0sKO2djT2Vh5jEzQ4nxRls9mc84E5a6e&#10;zhNj8WerDxhfSmdYCmqulU2qoYLDK4wD9DckLWvL+po/n2dCoBZs6eqJ23iSgXaX96LTqrlVWqcd&#10;GHbbGx3YAVIb5G8s4S9YOmQN2A24nEowqDoJzQvbsHjyZJCld8FTCUY2nGlJzyhFGRlB6UuQpF7b&#10;RC1zk446k8uDrynauuZEl7P3Qe068mWaa04ZaoZs4Ni4qdvuzym+/1hXv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ZbXch1gAAAAgBAAAPAAAAAAAAAAEAIAAAACIAAABkcnMvZG93bnJldi54bWxQ&#10;SwECFAAUAAAACACHTuJAH0VyjvkBAAD0AwAADgAAAAAAAAABACAAAAAlAQAAZHJzL2Uyb0RvYy54&#10;bWxQSwUGAAAAAAYABgBZAQAAkAUAAAAA&#10;">
                <v:fill on="f" focussize="0,0"/>
                <v:stroke color="#000000" joinstyle="round"/>
                <v:imagedata o:title=""/>
                <o:lock v:ext="edit" aspectratio="f"/>
              </v:line>
            </w:pict>
          </mc:Fallback>
        </mc:AlternateContent>
      </w:r>
      <w:r>
        <w:rPr>
          <w:rFonts w:hint="eastAsia" w:ascii="仿宋_GB2312" w:hAnsi="仿宋_GB2312" w:eastAsia="仿宋_GB2312" w:cs="仿宋_GB2312"/>
          <w:kern w:val="0"/>
          <w:sz w:val="28"/>
          <w:szCs w:val="28"/>
        </w:rPr>
        <w:t xml:space="preserve"> 保康县人民政府办公室                       20</w:t>
      </w:r>
      <w:r>
        <w:rPr>
          <w:rFonts w:hint="eastAsia" w:ascii="仿宋_GB2312" w:hAnsi="仿宋_GB2312" w:eastAsia="仿宋_GB2312" w:cs="仿宋_GB2312"/>
          <w:kern w:val="0"/>
          <w:sz w:val="28"/>
          <w:szCs w:val="28"/>
          <w:lang w:val="en-US" w:eastAsia="zh-CN"/>
        </w:rPr>
        <w:t>21</w:t>
      </w:r>
      <w:r>
        <w:rPr>
          <w:rFonts w:hint="eastAsia" w:ascii="仿宋_GB2312" w:hAnsi="仿宋_GB2312" w:eastAsia="仿宋_GB2312" w:cs="仿宋_GB2312"/>
          <w:kern w:val="0"/>
          <w:sz w:val="28"/>
          <w:szCs w:val="28"/>
        </w:rPr>
        <w:t>年</w:t>
      </w:r>
      <w:r>
        <w:rPr>
          <w:rFonts w:hint="eastAsia" w:ascii="仿宋_GB2312" w:hAnsi="仿宋_GB2312" w:eastAsia="仿宋_GB2312" w:cs="仿宋_GB2312"/>
          <w:kern w:val="0"/>
          <w:sz w:val="28"/>
          <w:szCs w:val="28"/>
          <w:lang w:val="en-US" w:eastAsia="zh-CN"/>
        </w:rPr>
        <w:t>5</w:t>
      </w:r>
      <w:r>
        <w:rPr>
          <w:rFonts w:hint="eastAsia" w:ascii="仿宋_GB2312" w:hAnsi="仿宋_GB2312" w:eastAsia="仿宋_GB2312" w:cs="仿宋_GB2312"/>
          <w:kern w:val="0"/>
          <w:sz w:val="28"/>
          <w:szCs w:val="28"/>
        </w:rPr>
        <w:t>月</w:t>
      </w:r>
      <w:r>
        <w:rPr>
          <w:rFonts w:hint="eastAsia" w:ascii="仿宋_GB2312" w:hAnsi="仿宋_GB2312" w:eastAsia="仿宋_GB2312" w:cs="仿宋_GB2312"/>
          <w:kern w:val="0"/>
          <w:sz w:val="28"/>
          <w:szCs w:val="28"/>
          <w:lang w:val="en-US" w:eastAsia="zh-CN"/>
        </w:rPr>
        <w:t>25</w:t>
      </w:r>
      <w:r>
        <w:rPr>
          <w:rFonts w:hint="eastAsia" w:ascii="仿宋_GB2312" w:hAnsi="仿宋_GB2312" w:eastAsia="仿宋_GB2312" w:cs="仿宋_GB2312"/>
          <w:kern w:val="0"/>
          <w:sz w:val="28"/>
          <w:szCs w:val="28"/>
        </w:rPr>
        <w:t>日印发</w:t>
      </w:r>
      <w:r>
        <w:rPr>
          <w:rFonts w:hint="eastAsia" w:ascii="仿宋_GB2312" w:hAnsi="仿宋_GB2312" w:eastAsia="仿宋_GB2312" w:cs="仿宋_GB2312"/>
          <w:kern w:val="0"/>
          <w:sz w:val="28"/>
          <w:szCs w:val="28"/>
          <w:lang w:val="en-US" w:eastAsia="zh-CN"/>
        </w:rPr>
        <w:t xml:space="preserve">  </w:t>
      </w:r>
    </w:p>
    <w:sectPr>
      <w:footerReference r:id="rId3" w:type="default"/>
      <w:pgSz w:w="11906" w:h="16838"/>
      <w:pgMar w:top="2098" w:right="1474" w:bottom="1984" w:left="1587" w:header="851" w:footer="1417"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3"/>
                      <w:rPr>
                        <w:rFonts w:hint="eastAsia" w:eastAsia="宋体"/>
                        <w:sz w:val="28"/>
                        <w:szCs w:val="28"/>
                        <w:lang w:eastAsia="zh-CN"/>
                      </w:rPr>
                    </w:pPr>
                    <w:r>
                      <w:rPr>
                        <w:rFonts w:hint="eastAsia" w:ascii="仿宋_GB2312" w:hAnsi="仿宋_GB2312" w:eastAsia="仿宋_GB2312" w:cs="仿宋_GB2312"/>
                        <w:sz w:val="28"/>
                        <w:szCs w:val="28"/>
                        <w:lang w:eastAsia="zh-CN"/>
                      </w:rPr>
                      <w:fldChar w:fldCharType="begin"/>
                    </w:r>
                    <w:r>
                      <w:rPr>
                        <w:rFonts w:hint="eastAsia" w:ascii="仿宋_GB2312" w:hAnsi="仿宋_GB2312" w:eastAsia="仿宋_GB2312" w:cs="仿宋_GB2312"/>
                        <w:sz w:val="28"/>
                        <w:szCs w:val="28"/>
                        <w:lang w:eastAsia="zh-CN"/>
                      </w:rPr>
                      <w:instrText xml:space="preserve"> PAGE  \* MERGEFORMAT </w:instrText>
                    </w:r>
                    <w:r>
                      <w:rPr>
                        <w:rFonts w:hint="eastAsia" w:ascii="仿宋_GB2312" w:hAnsi="仿宋_GB2312" w:eastAsia="仿宋_GB2312" w:cs="仿宋_GB2312"/>
                        <w:sz w:val="28"/>
                        <w:szCs w:val="28"/>
                        <w:lang w:eastAsia="zh-CN"/>
                      </w:rPr>
                      <w:fldChar w:fldCharType="separate"/>
                    </w:r>
                    <w:r>
                      <w:rPr>
                        <w:rFonts w:hint="eastAsia" w:ascii="仿宋_GB2312" w:hAnsi="仿宋_GB2312" w:eastAsia="仿宋_GB2312" w:cs="仿宋_GB2312"/>
                        <w:sz w:val="28"/>
                        <w:szCs w:val="28"/>
                        <w:lang w:eastAsia="zh-CN"/>
                      </w:rPr>
                      <w:t>1</w:t>
                    </w:r>
                    <w:r>
                      <w:rPr>
                        <w:rFonts w:hint="eastAsia" w:ascii="仿宋_GB2312" w:hAnsi="仿宋_GB2312" w:eastAsia="仿宋_GB2312" w:cs="仿宋_GB2312"/>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9E99BE"/>
    <w:multiLevelType w:val="singleLevel"/>
    <w:tmpl w:val="DE9E99BE"/>
    <w:lvl w:ilvl="0" w:tentative="0">
      <w:start w:val="1"/>
      <w:numFmt w:val="chineseCounting"/>
      <w:suff w:val="nothing"/>
      <w:lvlText w:val="（%1）"/>
      <w:lvlJc w:val="left"/>
      <w:rPr>
        <w:rFonts w:hint="eastAsia" w:ascii="仿宋_GB2312" w:hAnsi="仿宋_GB2312" w:eastAsia="仿宋_GB2312" w:cs="仿宋_GB2312"/>
        <w:sz w:val="32"/>
        <w:szCs w:val="32"/>
      </w:rPr>
    </w:lvl>
  </w:abstractNum>
  <w:abstractNum w:abstractNumId="1">
    <w:nsid w:val="3B3BB779"/>
    <w:multiLevelType w:val="singleLevel"/>
    <w:tmpl w:val="3B3BB779"/>
    <w:lvl w:ilvl="0" w:tentative="0">
      <w:start w:val="1"/>
      <w:numFmt w:val="chineseCounting"/>
      <w:suff w:val="nothing"/>
      <w:lvlText w:val="（%1）"/>
      <w:lvlJc w:val="left"/>
      <w:rPr>
        <w:rFonts w:hint="eastAsia" w:ascii="仿宋_GB2312" w:hAnsi="仿宋_GB2312" w:eastAsia="仿宋_GB2312" w:cs="仿宋_GB2312"/>
        <w:sz w:val="32"/>
        <w:szCs w:val="32"/>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1719CB"/>
    <w:rsid w:val="010A7FFA"/>
    <w:rsid w:val="0186593C"/>
    <w:rsid w:val="03A86A83"/>
    <w:rsid w:val="09B91EFD"/>
    <w:rsid w:val="09F46E09"/>
    <w:rsid w:val="0A9D4D71"/>
    <w:rsid w:val="0C243B2D"/>
    <w:rsid w:val="0D307881"/>
    <w:rsid w:val="10B562AE"/>
    <w:rsid w:val="137F4E29"/>
    <w:rsid w:val="150A64F1"/>
    <w:rsid w:val="16115BDD"/>
    <w:rsid w:val="174079B6"/>
    <w:rsid w:val="19EB5C16"/>
    <w:rsid w:val="1B175EBB"/>
    <w:rsid w:val="1BB92AD3"/>
    <w:rsid w:val="1DBF2777"/>
    <w:rsid w:val="1EDF2C75"/>
    <w:rsid w:val="2233507B"/>
    <w:rsid w:val="25A258A1"/>
    <w:rsid w:val="28ED4974"/>
    <w:rsid w:val="2B4B05B1"/>
    <w:rsid w:val="35904FE4"/>
    <w:rsid w:val="37CB1FAB"/>
    <w:rsid w:val="37F95D0B"/>
    <w:rsid w:val="38A1381F"/>
    <w:rsid w:val="3B172B82"/>
    <w:rsid w:val="3DF8234B"/>
    <w:rsid w:val="3E1719CB"/>
    <w:rsid w:val="414266E7"/>
    <w:rsid w:val="44841129"/>
    <w:rsid w:val="4492629B"/>
    <w:rsid w:val="44D6491C"/>
    <w:rsid w:val="47404904"/>
    <w:rsid w:val="4A184F26"/>
    <w:rsid w:val="4E8360A1"/>
    <w:rsid w:val="4ECB6335"/>
    <w:rsid w:val="51116D08"/>
    <w:rsid w:val="526823E1"/>
    <w:rsid w:val="539B6F0F"/>
    <w:rsid w:val="5BED0186"/>
    <w:rsid w:val="5CDC47A4"/>
    <w:rsid w:val="5D007D9D"/>
    <w:rsid w:val="5EC92390"/>
    <w:rsid w:val="61B30729"/>
    <w:rsid w:val="61F6468A"/>
    <w:rsid w:val="642408E3"/>
    <w:rsid w:val="66E22B52"/>
    <w:rsid w:val="670B468C"/>
    <w:rsid w:val="69CA138F"/>
    <w:rsid w:val="6E046CD2"/>
    <w:rsid w:val="6EA51129"/>
    <w:rsid w:val="6F236A50"/>
    <w:rsid w:val="70A5594F"/>
    <w:rsid w:val="71745420"/>
    <w:rsid w:val="73E95C56"/>
    <w:rsid w:val="76EC53C2"/>
    <w:rsid w:val="79742070"/>
    <w:rsid w:val="79A340AB"/>
    <w:rsid w:val="7AFF2992"/>
    <w:rsid w:val="7D5F4E41"/>
    <w:rsid w:val="7E370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2021-01-20T02:50:00Z</dcterms:created>
  <dc:creator>Administrator</dc:creator>
  <cp:lastModifiedBy>zlkyle</cp:lastModifiedBy>
  <cp:lastPrinted>2021-05-25T06:40:00Z</cp:lastPrinted>
  <dcterms:modified xsi:type="dcterms:W3CDTF">2021-05-25T07:51:32Z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DB1EE8E5F0BE47908DF72DF1BAEA06CA</vt:lpwstr>
  </property>
</Properties>
</file>