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default" w:ascii="方正小标宋简体" w:hAnsi="方正小标宋简体" w:eastAsia="方正小标宋简体" w:cs="方正小标宋简体"/>
          <w:sz w:val="44"/>
          <w:szCs w:val="44"/>
          <w:lang w:val="en-US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-234315</wp:posOffset>
                </wp:positionV>
                <wp:extent cx="5629910" cy="765810"/>
                <wp:effectExtent l="3175" t="3810" r="0" b="1905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29910" cy="765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left"/>
                              <w:rPr>
                                <w:rFonts w:ascii="方正大标宋简体" w:eastAsia="方正大标宋简体"/>
                                <w:color w:val="FF0000"/>
                                <w:spacing w:val="-57"/>
                                <w:w w:val="86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方正大标宋简体" w:eastAsia="方正大标宋简体"/>
                                <w:color w:val="FF0000"/>
                                <w:spacing w:val="-57"/>
                                <w:w w:val="86"/>
                                <w:sz w:val="84"/>
                                <w:szCs w:val="84"/>
                              </w:rPr>
                              <w:t>湖北省公共资源交易监督管理局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top:-18.45pt;height:60.3pt;width:443.3pt;mso-position-horizontal:center;mso-position-horizontal-relative:margin;z-index:251660288;mso-width-relative:page;mso-height-relative:page;" filled="f" stroked="f" coordsize="21600,21600" o:gfxdata="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ein4qNkAAAAHAQAADwAAAAAAAAABACAAAAAiAAAAZHJzL2Rvd25yZXYueG1sUEsBAhQA&#10;FAAAAAgAh07iQHKlDcPxAQAAugMAAA4AAAAAAAAAAQAgAAAAKAEAAGRycy9lMm9Eb2MueG1sUEsF&#10;BgAAAAAGAAYAWQEAAIs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left"/>
                        <w:rPr>
                          <w:rFonts w:ascii="方正大标宋简体" w:eastAsia="方正大标宋简体"/>
                          <w:color w:val="FF0000"/>
                          <w:spacing w:val="-57"/>
                          <w:w w:val="86"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方正大标宋简体" w:eastAsia="方正大标宋简体"/>
                          <w:color w:val="FF0000"/>
                          <w:spacing w:val="-57"/>
                          <w:w w:val="86"/>
                          <w:sz w:val="84"/>
                          <w:szCs w:val="84"/>
                        </w:rPr>
                        <w:t>湖北省公共资源交易监督管理局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4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798195</wp:posOffset>
                </wp:positionV>
                <wp:extent cx="5507990" cy="43180"/>
                <wp:effectExtent l="16510" t="17145" r="9525" b="6350"/>
                <wp:wrapNone/>
                <wp:docPr id="4" name="组合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07990" cy="43180"/>
                          <a:chOff x="2647" y="20746"/>
                          <a:chExt cx="8504" cy="68"/>
                        </a:xfrm>
                      </wpg:grpSpPr>
                      <wps:wsp>
                        <wps:cNvPr id="5" name="直线 8"/>
                        <wps:cNvCnPr/>
                        <wps:spPr bwMode="auto">
                          <a:xfrm>
                            <a:off x="2647" y="20746"/>
                            <a:ext cx="8504" cy="0"/>
                          </a:xfrm>
                          <a:prstGeom prst="line">
                            <a:avLst/>
                          </a:prstGeom>
                          <a:noFill/>
                          <a:ln w="17145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6" name="直线 9"/>
                        <wps:cNvCnPr/>
                        <wps:spPr bwMode="auto">
                          <a:xfrm>
                            <a:off x="2647" y="20814"/>
                            <a:ext cx="850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top:62.85pt;height:3.4pt;width:433.7pt;mso-position-horizontal:center;mso-position-horizontal-relative:margin;z-index:251659264;mso-width-relative:page;mso-height-relative:page;" coordorigin="2647,20746" coordsize="8504,68" o:gfxdata="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D/97Wn2AAAAAgBAAAPAAAAAAAAAAEAIAAAACIAAABkcnMvZG93bnJl&#10;di54bWxQSwECFAAUAAAACACHTuJAzsE8ezYCAADpBQAADgAAAAAAAAABACAAAAAnAQAAZHJzL2Uy&#10;b0RvYy54bWxQSwUGAAAAAAYABgBZAQAAzwUAAAAA&#10;">
                <o:lock v:ext="edit" aspectratio="f"/>
                <v:line id="直线 8" o:spid="_x0000_s1026" o:spt="20" style="position:absolute;left:2647;top:20746;height:0;width:8504;" filled="f" stroked="t" coordsize="21600,21600" o:gfxdata="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tGsnTvQAA&#10;ANoAAAAPAAAAAAAAAAEAIAAAACIAAABkcnMvZG93bnJldi54bWxQSwECFAAUAAAACACHTuJAMy8F&#10;njsAAAA5AAAAEAAAAAAAAAABACAAAAAMAQAAZHJzL3NoYXBleG1sLnhtbFBLBQYAAAAABgAGAFsB&#10;AAC2AwAAAAA=&#10;">
                  <v:fill on="f" focussize="0,0"/>
                  <v:stroke weight="1.35pt" color="#FF0000" joinstyle="round"/>
                  <v:imagedata o:title=""/>
                  <o:lock v:ext="edit" aspectratio="f"/>
                </v:line>
                <v:line id="直线 9" o:spid="_x0000_s1026" o:spt="20" style="position:absolute;left:2647;top:20814;height:0;width:8504;" filled="f" stroked="t" coordsize="21600,21600" o:gfxdata="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D2kvC8AAAA&#10;2gAAAA8AAAAAAAAAAQAgAAAAIgAAAGRycy9kb3ducmV2LnhtbFBLAQIUABQAAAAIAIdO4kAzLwWe&#10;OwAAADkAAAAQAAAAAAAAAAEAIAAAAAsBAABkcnMvc2hhcGV4bWwueG1sUEsFBgAAAAAGAAYAWwEA&#10;ALUDAAAAAA==&#10;">
                  <v:fill on="f" focussize="0,0"/>
                  <v:stroke color="#FF0000" joinstyle="round"/>
                  <v:imagedata o:title=""/>
                  <o:lock v:ext="edit" aspectratio="f"/>
                </v:line>
              </v:group>
            </w:pict>
          </mc:Fallback>
        </mc:AlternateContent>
      </w:r>
      <w:r>
        <w:rPr>
          <w:sz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8583295</wp:posOffset>
                </wp:positionV>
                <wp:extent cx="5507990" cy="43180"/>
                <wp:effectExtent l="16510" t="10795" r="9525" b="12700"/>
                <wp:wrapNone/>
                <wp:docPr id="1" name="组合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5507990" cy="43180"/>
                          <a:chOff x="2647" y="20746"/>
                          <a:chExt cx="8340" cy="68"/>
                        </a:xfrm>
                      </wpg:grpSpPr>
                      <wps:wsp>
                        <wps:cNvPr id="2" name="直线 8"/>
                        <wps:cNvCnPr/>
                        <wps:spPr bwMode="auto">
                          <a:xfrm>
                            <a:off x="2647" y="20746"/>
                            <a:ext cx="8340" cy="0"/>
                          </a:xfrm>
                          <a:prstGeom prst="line">
                            <a:avLst/>
                          </a:prstGeom>
                          <a:noFill/>
                          <a:ln w="17145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3" name="直线 9"/>
                        <wps:cNvCnPr/>
                        <wps:spPr bwMode="auto">
                          <a:xfrm>
                            <a:off x="2647" y="20814"/>
                            <a:ext cx="83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top:675.85pt;height:3.4pt;width:433.7pt;mso-position-horizontal:center;mso-position-horizontal-relative:margin;rotation:11796480f;z-index:251661312;mso-width-relative:page;mso-height-relative:page;" coordorigin="2647,20746" coordsize="8340,68" o:gfxdata="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M/rmR7YAAAACgEAAA8AAAAAAAAAAQAgAAAAIgAAAGRy&#10;cy9kb3ducmV2LnhtbFBLAQIUABQAAAAIAIdO4kB2htZDPgIAAPgFAAAOAAAAAAAAAAEAIAAAACcB&#10;AABkcnMvZTJvRG9jLnhtbFBLBQYAAAAABgAGAFkBAADXBQAAAAA=&#10;">
                <o:lock v:ext="edit" aspectratio="f"/>
                <v:line id="直线 8" o:spid="_x0000_s1026" o:spt="20" style="position:absolute;left:2647;top:20746;height:0;width:8340;" filled="f" stroked="t" coordsize="21600,21600" o:gfxdata="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i81GnvQAA&#10;ANoAAAAPAAAAAAAAAAEAIAAAACIAAABkcnMvZG93bnJldi54bWxQSwECFAAUAAAACACHTuJAMy8F&#10;njsAAAA5AAAAEAAAAAAAAAABACAAAAAMAQAAZHJzL3NoYXBleG1sLnhtbFBLBQYAAAAABgAGAFsB&#10;AAC2AwAAAAA=&#10;">
                  <v:fill on="f" focussize="0,0"/>
                  <v:stroke weight="1.35pt" color="#FF0000" joinstyle="round"/>
                  <v:imagedata o:title=""/>
                  <o:lock v:ext="edit" aspectratio="f"/>
                </v:line>
                <v:line id="直线 9" o:spid="_x0000_s1026" o:spt="20" style="position:absolute;left:2647;top:20814;height:0;width:8340;" filled="f" stroked="t" coordsize="21600,21600" o:gfxdata="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CBMWi8AAAA&#10;2gAAAA8AAAAAAAAAAQAgAAAAIgAAAGRycy9kb3ducmV2LnhtbFBLAQIUABQAAAAIAIdO4kAzLwWe&#10;OwAAADkAAAAQAAAAAAAAAAEAIAAAAAsBAABkcnMvc2hhcGV4bWwueG1sUEsFBgAAAAAGAAYAWwEA&#10;ALUDAAAAAA==&#10;">
                  <v:fill on="f" focussize="0,0"/>
                  <v:stroke color="#FF0000" joinstyle="round"/>
                  <v:imagedata o:title=""/>
                  <o:lock v:ext="edit" aspectratio="f"/>
                </v:line>
              </v:group>
            </w:pict>
          </mc:Fallback>
        </mc:AlternateConten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/>
    <w:p>
      <w:pPr>
        <w:jc w:val="righ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鄂公管函〔2022〕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30</w:t>
      </w:r>
      <w:r>
        <w:rPr>
          <w:rFonts w:hint="eastAsia" w:ascii="仿宋_GB2312" w:eastAsia="仿宋_GB2312"/>
          <w:sz w:val="32"/>
          <w:szCs w:val="32"/>
        </w:rPr>
        <w:t>号</w:t>
      </w:r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sz w:val="36"/>
          <w:szCs w:val="36"/>
        </w:rPr>
      </w:pPr>
    </w:p>
    <w:p>
      <w:pPr>
        <w:pStyle w:val="7"/>
        <w:widowControl/>
        <w:shd w:val="clear" w:color="auto" w:fill="FFFFFF"/>
        <w:adjustRightInd w:val="0"/>
        <w:snapToGrid w:val="0"/>
        <w:spacing w:before="0" w:beforeAutospacing="0" w:after="0" w:afterAutospacing="0" w:line="700" w:lineRule="exact"/>
        <w:jc w:val="center"/>
        <w:rPr>
          <w:rFonts w:hint="eastAsia" w:ascii="方正小标宋简体" w:hAnsi="黑体" w:eastAsia="方正小标宋简体" w:cs="黑体"/>
          <w:bCs/>
          <w:sz w:val="44"/>
          <w:szCs w:val="44"/>
          <w:lang w:eastAsia="zh-CN"/>
        </w:rPr>
      </w:pPr>
      <w:r>
        <w:rPr>
          <w:rFonts w:hint="eastAsia" w:ascii="方正小标宋简体" w:hAnsi="黑体" w:eastAsia="方正小标宋简体" w:cs="黑体"/>
          <w:bCs/>
          <w:sz w:val="44"/>
          <w:szCs w:val="44"/>
        </w:rPr>
        <w:t>关于印发《</w:t>
      </w:r>
      <w:r>
        <w:rPr>
          <w:rFonts w:hint="eastAsia" w:ascii="方正小标宋简体" w:hAnsi="黑体" w:eastAsia="方正小标宋简体" w:cs="黑体"/>
          <w:bCs/>
          <w:sz w:val="44"/>
          <w:szCs w:val="44"/>
          <w:lang w:eastAsia="zh-CN"/>
        </w:rPr>
        <w:t>相邻区域专家共享使用</w:t>
      </w:r>
    </w:p>
    <w:p>
      <w:pPr>
        <w:pStyle w:val="7"/>
        <w:widowControl/>
        <w:shd w:val="clear" w:color="auto" w:fill="FFFFFF"/>
        <w:adjustRightInd w:val="0"/>
        <w:snapToGrid w:val="0"/>
        <w:spacing w:before="0" w:beforeAutospacing="0" w:after="0" w:afterAutospacing="0" w:line="700" w:lineRule="exact"/>
        <w:jc w:val="center"/>
        <w:rPr>
          <w:rFonts w:hint="eastAsia" w:ascii="方正小标宋简体" w:hAnsi="黑体" w:eastAsia="方正小标宋简体" w:cs="黑体"/>
          <w:bCs/>
          <w:sz w:val="44"/>
          <w:szCs w:val="44"/>
        </w:rPr>
      </w:pPr>
      <w:r>
        <w:rPr>
          <w:rFonts w:hint="eastAsia" w:ascii="方正小标宋简体" w:hAnsi="黑体" w:eastAsia="方正小标宋简体" w:cs="黑体"/>
          <w:bCs/>
          <w:sz w:val="44"/>
          <w:szCs w:val="44"/>
          <w:lang w:eastAsia="zh-CN"/>
        </w:rPr>
        <w:t>工作指引</w:t>
      </w:r>
      <w:r>
        <w:rPr>
          <w:rFonts w:hint="eastAsia" w:ascii="方正小标宋简体" w:hAnsi="黑体" w:eastAsia="方正小标宋简体" w:cs="黑体"/>
          <w:bCs/>
          <w:sz w:val="44"/>
          <w:szCs w:val="44"/>
          <w:lang w:val="en-US" w:eastAsia="zh-CN"/>
        </w:rPr>
        <w:t>(试行)</w:t>
      </w:r>
      <w:r>
        <w:rPr>
          <w:rFonts w:hint="eastAsia" w:ascii="方正小标宋简体" w:hAnsi="黑体" w:eastAsia="方正小标宋简体" w:cs="黑体"/>
          <w:bCs/>
          <w:sz w:val="44"/>
          <w:szCs w:val="44"/>
        </w:rPr>
        <w:t>》的函</w:t>
      </w:r>
    </w:p>
    <w:p>
      <w:pPr>
        <w:pStyle w:val="7"/>
        <w:widowControl/>
        <w:shd w:val="clear" w:color="auto" w:fill="FFFFFF"/>
        <w:adjustRightInd w:val="0"/>
        <w:snapToGrid w:val="0"/>
        <w:spacing w:before="0" w:beforeAutospacing="0" w:after="0" w:afterAutospacing="0" w:line="579" w:lineRule="exact"/>
        <w:jc w:val="both"/>
        <w:rPr>
          <w:rFonts w:ascii="仿宋" w:hAnsi="仿宋" w:eastAsia="仿宋" w:cs="仿宋"/>
          <w:sz w:val="32"/>
          <w:szCs w:val="32"/>
        </w:rPr>
      </w:pPr>
    </w:p>
    <w:p>
      <w:pPr>
        <w:pStyle w:val="7"/>
        <w:shd w:val="clear" w:color="auto" w:fill="FFFFFF"/>
        <w:overflowPunct w:val="0"/>
        <w:adjustRightInd w:val="0"/>
        <w:snapToGrid w:val="0"/>
        <w:spacing w:before="0" w:beforeAutospacing="0" w:after="0" w:afterAutospacing="0" w:line="579" w:lineRule="exact"/>
        <w:jc w:val="both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各市（州）、直管市、神农架林区公共资源交易监督管理局：</w:t>
      </w:r>
    </w:p>
    <w:p>
      <w:pPr>
        <w:pStyle w:val="7"/>
        <w:overflowPunct w:val="0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根据《湖北省评标（评审）专家及专家库管理办法》（鄂公管委发〔2021〕6号）相关规定，</w:t>
      </w:r>
      <w:r>
        <w:rPr>
          <w:rFonts w:hint="eastAsia" w:ascii="仿宋_GB2312" w:hAnsi="仿宋" w:eastAsia="仿宋_GB2312" w:cs="仿宋"/>
          <w:sz w:val="32"/>
          <w:szCs w:val="32"/>
        </w:rPr>
        <w:t>省公共资源交易监管局制定了《</w:t>
      </w:r>
      <w:r>
        <w:rPr>
          <w:rFonts w:hint="eastAsia" w:ascii="仿宋_GB2312" w:hAnsi="仿宋" w:eastAsia="仿宋_GB2312" w:cs="仿宋"/>
          <w:sz w:val="32"/>
          <w:szCs w:val="32"/>
          <w:lang w:eastAsia="zh-CN"/>
        </w:rPr>
        <w:t>相邻区域专家共享使用工作指引（试行）</w:t>
      </w:r>
      <w:r>
        <w:rPr>
          <w:rFonts w:hint="eastAsia" w:ascii="仿宋_GB2312" w:hAnsi="仿宋" w:eastAsia="仿宋_GB2312" w:cs="仿宋"/>
          <w:kern w:val="2"/>
          <w:sz w:val="32"/>
          <w:szCs w:val="32"/>
        </w:rPr>
        <w:t>》，</w:t>
      </w:r>
      <w:r>
        <w:rPr>
          <w:rFonts w:hint="eastAsia" w:ascii="仿宋_GB2312" w:hAnsi="仿宋" w:eastAsia="仿宋_GB2312" w:cs="仿宋"/>
          <w:kern w:val="2"/>
          <w:sz w:val="32"/>
          <w:szCs w:val="32"/>
          <w:lang w:eastAsia="zh-CN"/>
        </w:rPr>
        <w:t>现印发给你们，请结合实际执行。</w:t>
      </w:r>
    </w:p>
    <w:p>
      <w:pPr>
        <w:pStyle w:val="7"/>
        <w:shd w:val="clear" w:color="auto" w:fill="FFFFFF"/>
        <w:overflowPunct w:val="0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ascii="仿宋_GB2312" w:hAnsi="仿宋" w:eastAsia="仿宋_GB2312" w:cs="仿宋"/>
          <w:sz w:val="32"/>
          <w:szCs w:val="32"/>
        </w:rPr>
      </w:pPr>
    </w:p>
    <w:p>
      <w:pPr>
        <w:pStyle w:val="7"/>
        <w:shd w:val="clear" w:color="auto"/>
        <w:overflowPunct w:val="0"/>
        <w:adjustRightInd w:val="0"/>
        <w:snapToGrid w:val="0"/>
        <w:spacing w:before="0" w:beforeAutospacing="0" w:after="0" w:afterAutospacing="0" w:line="440" w:lineRule="exact"/>
        <w:ind w:firstLine="640" w:firstLineChars="200"/>
        <w:jc w:val="both"/>
        <w:rPr>
          <w:rFonts w:ascii="仿宋_GB2312" w:hAnsi="仿宋" w:eastAsia="仿宋_GB2312" w:cs="仿宋"/>
          <w:sz w:val="32"/>
          <w:szCs w:val="32"/>
        </w:rPr>
      </w:pPr>
      <w:bookmarkStart w:id="0" w:name="_GoBack"/>
      <w:bookmarkEnd w:id="0"/>
    </w:p>
    <w:p>
      <w:pPr>
        <w:pStyle w:val="7"/>
        <w:shd w:val="clear" w:color="auto"/>
        <w:overflowPunct w:val="0"/>
        <w:adjustRightInd w:val="0"/>
        <w:snapToGrid w:val="0"/>
        <w:spacing w:before="0" w:beforeAutospacing="0" w:after="0" w:afterAutospacing="0" w:line="440" w:lineRule="exact"/>
        <w:ind w:firstLine="640" w:firstLineChars="200"/>
        <w:jc w:val="both"/>
        <w:rPr>
          <w:rFonts w:ascii="仿宋_GB2312" w:hAnsi="仿宋" w:eastAsia="仿宋_GB2312" w:cs="仿宋"/>
          <w:sz w:val="32"/>
          <w:szCs w:val="32"/>
        </w:rPr>
      </w:pPr>
    </w:p>
    <w:p>
      <w:pPr>
        <w:pStyle w:val="7"/>
        <w:shd w:val="clear" w:color="auto"/>
        <w:overflowPunct w:val="0"/>
        <w:adjustRightInd w:val="0"/>
        <w:snapToGrid w:val="0"/>
        <w:spacing w:before="0" w:beforeAutospacing="0" w:after="0" w:afterAutospacing="0" w:line="440" w:lineRule="exact"/>
        <w:ind w:firstLine="640" w:firstLineChars="200"/>
        <w:jc w:val="both"/>
        <w:rPr>
          <w:rFonts w:ascii="仿宋_GB2312" w:hAnsi="仿宋" w:eastAsia="仿宋_GB2312" w:cs="仿宋"/>
          <w:sz w:val="32"/>
          <w:szCs w:val="32"/>
        </w:rPr>
      </w:pPr>
    </w:p>
    <w:p>
      <w:pPr>
        <w:pStyle w:val="7"/>
        <w:shd w:val="clear" w:color="auto"/>
        <w:overflowPunct w:val="0"/>
        <w:adjustRightInd w:val="0"/>
        <w:snapToGrid w:val="0"/>
        <w:spacing w:before="0" w:beforeAutospacing="0" w:after="0" w:afterAutospacing="0" w:line="579" w:lineRule="exact"/>
        <w:ind w:firstLine="3116" w:firstLineChars="974"/>
        <w:jc w:val="center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湖北省公共资源交易监督管理局</w:t>
      </w:r>
    </w:p>
    <w:p>
      <w:pPr>
        <w:pStyle w:val="7"/>
        <w:shd w:val="clear" w:color="auto"/>
        <w:overflowPunct w:val="0"/>
        <w:adjustRightInd w:val="0"/>
        <w:snapToGrid w:val="0"/>
        <w:spacing w:before="0" w:beforeAutospacing="0" w:after="0" w:afterAutospacing="0" w:line="579" w:lineRule="exact"/>
        <w:ind w:firstLine="3116" w:firstLineChars="974"/>
        <w:jc w:val="center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2022年</w:t>
      </w:r>
      <w:r>
        <w:rPr>
          <w:rFonts w:hint="eastAsia" w:ascii="仿宋_GB2312" w:hAnsi="仿宋" w:eastAsia="仿宋_GB2312" w:cs="仿宋"/>
          <w:sz w:val="32"/>
          <w:szCs w:val="32"/>
          <w:lang w:val="en-US" w:eastAsia="zh-CN"/>
        </w:rPr>
        <w:t>11</w:t>
      </w:r>
      <w:r>
        <w:rPr>
          <w:rFonts w:hint="eastAsia" w:ascii="仿宋_GB2312" w:hAnsi="仿宋" w:eastAsia="仿宋_GB2312" w:cs="仿宋"/>
          <w:sz w:val="32"/>
          <w:szCs w:val="32"/>
        </w:rPr>
        <w:t>月</w:t>
      </w:r>
      <w:r>
        <w:rPr>
          <w:rFonts w:hint="eastAsia" w:ascii="仿宋_GB2312" w:hAnsi="仿宋" w:eastAsia="仿宋_GB2312" w:cs="仿宋"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 w:cs="仿宋"/>
          <w:sz w:val="32"/>
          <w:szCs w:val="32"/>
        </w:rPr>
        <w:t>日</w:t>
      </w:r>
    </w:p>
    <w:p>
      <w:pPr>
        <w:pStyle w:val="7"/>
        <w:shd w:val="clear" w:color="auto"/>
        <w:overflowPunct w:val="0"/>
        <w:adjustRightInd w:val="0"/>
        <w:snapToGrid w:val="0"/>
        <w:spacing w:before="0" w:beforeAutospacing="0" w:after="0" w:afterAutospacing="0" w:line="579" w:lineRule="exact"/>
        <w:ind w:firstLine="3116" w:firstLineChars="974"/>
        <w:jc w:val="center"/>
        <w:rPr>
          <w:rFonts w:hint="eastAsia" w:ascii="仿宋_GB2312" w:hAnsi="仿宋" w:eastAsia="仿宋_GB2312" w:cs="仿宋"/>
          <w:sz w:val="32"/>
          <w:szCs w:val="32"/>
        </w:rPr>
      </w:pPr>
    </w:p>
    <w:p>
      <w:pPr>
        <w:pStyle w:val="7"/>
        <w:shd w:val="clear" w:color="auto"/>
        <w:overflowPunct w:val="0"/>
        <w:adjustRightInd w:val="0"/>
        <w:snapToGrid w:val="0"/>
        <w:spacing w:before="0" w:beforeAutospacing="0" w:after="0" w:afterAutospacing="0" w:line="579" w:lineRule="exact"/>
        <w:ind w:firstLine="3116" w:firstLineChars="974"/>
        <w:jc w:val="center"/>
        <w:rPr>
          <w:rFonts w:ascii="仿宋_GB2312" w:hAnsi="仿宋" w:eastAsia="仿宋_GB2312" w:cs="仿宋"/>
          <w:sz w:val="32"/>
          <w:szCs w:val="32"/>
        </w:rPr>
      </w:pPr>
    </w:p>
    <w:p>
      <w:pPr>
        <w:pStyle w:val="7"/>
        <w:shd w:val="clear" w:color="auto" w:fill="FFFFFF"/>
        <w:overflowPunct w:val="0"/>
        <w:adjustRightInd w:val="0"/>
        <w:snapToGrid w:val="0"/>
        <w:spacing w:before="0" w:beforeAutospacing="0" w:after="0" w:afterAutospacing="0" w:line="440" w:lineRule="exact"/>
        <w:jc w:val="center"/>
        <w:rPr>
          <w:rFonts w:ascii="仿宋_GB2312" w:hAnsi="仿宋" w:eastAsia="仿宋_GB2312" w:cs="仿宋"/>
          <w:sz w:val="32"/>
          <w:szCs w:val="32"/>
        </w:rPr>
      </w:pPr>
    </w:p>
    <w:p>
      <w:pPr>
        <w:pStyle w:val="7"/>
        <w:shd w:val="clear" w:color="auto" w:fill="FFFFFF"/>
        <w:overflowPunct w:val="0"/>
        <w:adjustRightInd w:val="0"/>
        <w:snapToGrid w:val="0"/>
        <w:spacing w:before="0" w:beforeAutospacing="0" w:after="0" w:afterAutospacing="0" w:line="440" w:lineRule="exact"/>
        <w:jc w:val="center"/>
        <w:rPr>
          <w:rFonts w:ascii="仿宋_GB2312" w:hAnsi="仿宋" w:eastAsia="仿宋_GB2312" w:cs="仿宋"/>
          <w:sz w:val="32"/>
          <w:szCs w:val="32"/>
        </w:rPr>
      </w:pPr>
    </w:p>
    <w:p>
      <w:pPr>
        <w:pStyle w:val="7"/>
        <w:shd w:val="clear" w:color="auto" w:fill="FFFFFF"/>
        <w:overflowPunct w:val="0"/>
        <w:adjustRightInd w:val="0"/>
        <w:snapToGrid w:val="0"/>
        <w:spacing w:before="0" w:beforeAutospacing="0" w:after="0" w:afterAutospacing="0" w:line="579" w:lineRule="exact"/>
        <w:ind w:firstLine="640" w:firstLineChars="200"/>
        <w:jc w:val="both"/>
        <w:rPr>
          <w:rFonts w:ascii="仿宋_GB2312" w:hAnsi="仿宋" w:eastAsia="仿宋_GB2312" w:cs="仿宋"/>
          <w:sz w:val="32"/>
          <w:szCs w:val="32"/>
        </w:rPr>
        <w:sectPr>
          <w:footerReference r:id="rId5" w:type="first"/>
          <w:footerReference r:id="rId3" w:type="default"/>
          <w:footerReference r:id="rId4" w:type="even"/>
          <w:pgSz w:w="11906" w:h="16838"/>
          <w:pgMar w:top="2098" w:right="1474" w:bottom="1418" w:left="1588" w:header="851" w:footer="992" w:gutter="0"/>
          <w:cols w:space="425" w:num="1"/>
          <w:docGrid w:type="lines" w:linePitch="312" w:charSpace="0"/>
        </w:sectPr>
      </w:pPr>
      <w:r>
        <w:rPr>
          <w:rFonts w:hint="eastAsia" w:ascii="仿宋_GB2312" w:hAnsi="仿宋" w:eastAsia="仿宋_GB2312" w:cs="仿宋"/>
          <w:sz w:val="32"/>
          <w:szCs w:val="32"/>
        </w:rPr>
        <w:t>抄送：省公共资源交易中心（省政府采购中心）</w:t>
      </w:r>
    </w:p>
    <w:p>
      <w:pPr>
        <w:pStyle w:val="7"/>
        <w:widowControl/>
        <w:shd w:val="clear" w:color="auto" w:fill="FFFFFF"/>
        <w:adjustRightInd w:val="0"/>
        <w:snapToGrid w:val="0"/>
        <w:spacing w:before="0" w:beforeAutospacing="0" w:after="0" w:afterAutospacing="0" w:line="579" w:lineRule="exact"/>
        <w:jc w:val="center"/>
        <w:rPr>
          <w:rFonts w:ascii="方正小标宋简体" w:hAnsi="黑体" w:eastAsia="方正小标宋简体" w:cs="黑体"/>
          <w:kern w:val="2"/>
          <w:sz w:val="44"/>
          <w:szCs w:val="44"/>
        </w:rPr>
      </w:pPr>
    </w:p>
    <w:p>
      <w:pPr>
        <w:pStyle w:val="7"/>
        <w:widowControl/>
        <w:shd w:val="clear" w:color="auto" w:fill="FFFFFF"/>
        <w:adjustRightInd w:val="0"/>
        <w:snapToGrid w:val="0"/>
        <w:spacing w:before="0" w:beforeAutospacing="0" w:after="0" w:afterAutospacing="0" w:line="700" w:lineRule="exact"/>
        <w:jc w:val="center"/>
        <w:rPr>
          <w:rFonts w:hint="default" w:ascii="方正小标宋简体" w:hAnsi="黑体" w:eastAsia="方正小标宋简体" w:cs="黑体"/>
          <w:bCs/>
          <w:sz w:val="44"/>
          <w:szCs w:val="44"/>
          <w:lang w:val="en-US" w:eastAsia="zh-CN"/>
        </w:rPr>
      </w:pPr>
      <w:r>
        <w:rPr>
          <w:rFonts w:hint="eastAsia" w:ascii="方正小标宋简体" w:hAnsi="黑体" w:eastAsia="方正小标宋简体" w:cs="黑体"/>
          <w:bCs/>
          <w:sz w:val="44"/>
          <w:szCs w:val="44"/>
          <w:lang w:eastAsia="zh-CN"/>
        </w:rPr>
        <w:t>相邻区域专家共享使用工作指引</w:t>
      </w:r>
      <w:r>
        <w:rPr>
          <w:rFonts w:hint="eastAsia" w:ascii="方正小标宋简体" w:hAnsi="黑体" w:eastAsia="方正小标宋简体" w:cs="黑体"/>
          <w:bCs/>
          <w:sz w:val="44"/>
          <w:szCs w:val="44"/>
          <w:lang w:val="en-US" w:eastAsia="zh-CN"/>
        </w:rPr>
        <w:t>(试行)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210" w:leftChars="0" w:right="0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  <w:shd w:val="clear" w:color="auto" w:fill="FFFFFF"/>
          <w:lang w:val="en-US" w:eastAsia="zh-CN" w:bidi="ar"/>
        </w:rPr>
        <w:t>共享目的</w:t>
      </w: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9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针对部分市县评标专家数量不足、专业门类偏少的现状，通过优化省综合专家库区域库抽取范围设置，实现相邻区域专家共享使用，达到增加专家有效供给，增大抽取随机性，提高应答签到率的目的。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  <w:shd w:val="clear" w:color="auto" w:fill="FFFFFF"/>
          <w:lang w:val="en-US" w:eastAsia="zh-CN" w:bidi="ar"/>
        </w:rPr>
        <w:t>二、基本原则</w:t>
      </w: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9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楷体_GB2312" w:hAnsi="楷体_GB2312" w:eastAsia="楷体_GB2312" w:cs="楷体_GB2312"/>
          <w:color w:val="auto"/>
          <w:kern w:val="0"/>
          <w:sz w:val="32"/>
          <w:szCs w:val="32"/>
          <w:shd w:val="clear" w:color="auto" w:fill="FFFFFF"/>
          <w:lang w:val="en-US" w:eastAsia="zh-CN" w:bidi="ar"/>
        </w:rPr>
        <w:t>（一）因地制宜设定。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相邻区域专家共享使用可设定为市域范围内和相邻县（市、区）两种模式，采用相邻县（市、区）模式可跨市级行政区域合作。</w:t>
      </w: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9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楷体_GB2312" w:hAnsi="楷体_GB2312" w:eastAsia="楷体_GB2312" w:cs="楷体_GB2312"/>
          <w:color w:val="auto"/>
          <w:kern w:val="0"/>
          <w:sz w:val="32"/>
          <w:szCs w:val="32"/>
          <w:shd w:val="clear" w:color="auto" w:fill="FFFFFF"/>
          <w:lang w:val="en-US" w:eastAsia="zh-CN" w:bidi="ar"/>
        </w:rPr>
        <w:t>（二）地理位置相邻。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原则上以专家一个小时到达的距离为半径，设定共享使用区域暨项目受理地评标时随机抽取专家的范围。</w:t>
      </w: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9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楷体_GB2312" w:hAnsi="楷体_GB2312" w:eastAsia="楷体_GB2312" w:cs="楷体_GB2312"/>
          <w:color w:val="auto"/>
          <w:kern w:val="0"/>
          <w:sz w:val="32"/>
          <w:szCs w:val="32"/>
          <w:shd w:val="clear" w:color="auto" w:fill="FFFFFF"/>
          <w:lang w:val="en-US" w:eastAsia="zh-CN" w:bidi="ar"/>
        </w:rPr>
        <w:t>（三）专家数量达标。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设定的共享使用区域专家总数量一般应在500人以上，受地理位置限制专家总数量不能达标的市县可适当放宽。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  <w:shd w:val="clear" w:color="auto" w:fill="FFFFFF"/>
          <w:lang w:val="en-US" w:eastAsia="zh-CN" w:bidi="ar"/>
        </w:rPr>
        <w:t>三、组织程序</w:t>
      </w: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9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各市州公共资源交易监管局会同同级交易（采购）中心，研究制定本市州相邻区域专家共享使用方案，设定共享使用区域，明确操作步骤、岗位分工、应急处置、保密要求等内容。</w:t>
      </w: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9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省公共资源交易监管局提供系统技术支持，按照各市州相邻区域专家共享使用方案，在省综合专家库系统设置绑定相互关联的地区。</w:t>
      </w: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9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各交易（采购）中心按照本市州相邻区域专家共享使用方案和《湖北省评标（评审）专家及专家库管理办法》（</w:t>
      </w:r>
      <w:r>
        <w:rPr>
          <w:rFonts w:hint="eastAsia" w:ascii="仿宋_GB2312" w:hAnsi="仿宋" w:eastAsia="仿宋_GB2312" w:cs="仿宋"/>
          <w:sz w:val="32"/>
          <w:szCs w:val="32"/>
          <w:lang w:bidi="ar"/>
        </w:rPr>
        <w:t>鄂公管委发〔2021〕6号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）有关规定，登录系统抽取项目评标专家。</w:t>
      </w: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9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FF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  <w:shd w:val="clear" w:color="auto" w:fill="FFFFFF"/>
          <w:lang w:val="en-US" w:eastAsia="zh-CN" w:bidi="ar"/>
        </w:rPr>
        <w:t>四、示例说明</w:t>
      </w: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9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楷体_GB2312" w:hAnsi="楷体_GB2312" w:eastAsia="楷体_GB2312" w:cs="楷体_GB2312"/>
          <w:color w:val="auto"/>
          <w:kern w:val="0"/>
          <w:sz w:val="32"/>
          <w:szCs w:val="32"/>
          <w:shd w:val="clear" w:color="auto" w:fill="FFFFFF"/>
          <w:lang w:val="en-US" w:eastAsia="zh-CN" w:bidi="ar"/>
        </w:rPr>
        <w:t>（一）市域范围内共享使用模式示例。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如黄石市域内黄石市、大冶市和阳新县交易（采购）中心受理的项目，应无差别的在全市范围内随机抽取专家。</w:t>
      </w: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9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楷体_GB2312" w:hAnsi="楷体_GB2312" w:eastAsia="楷体_GB2312" w:cs="楷体_GB2312"/>
          <w:color w:val="auto"/>
          <w:kern w:val="0"/>
          <w:sz w:val="32"/>
          <w:szCs w:val="32"/>
          <w:shd w:val="clear" w:color="auto" w:fill="FFFFFF"/>
          <w:lang w:val="en-US" w:eastAsia="zh-CN" w:bidi="ar"/>
        </w:rPr>
        <w:t>（二）相邻县（市、区）共享使用模式示例。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如荆州市域内各交易（采购）中心受理的项目，应在设定的共享使用区域内随机抽取专家，具体如下：</w:t>
      </w: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9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荆州市、沙市区和荆州区交易（采购）中心受理的项目，应在荆州市（城区）、公安县、江陵县范围内随机抽取专家；</w:t>
      </w: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9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公安县交易（采购）中心受理的项目，应在公安县、荆州市（城区）、江陵县、松滋市、石首市范围内随机抽取专家；</w:t>
      </w: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9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松滋市交易（采购）中心受理的项目，应在松滋市、荆州市（城区）、公安县、石首市、宜都市范围内随机抽取专家；</w:t>
      </w: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9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石首市交易（采购）中心受理的项目，应在石首市、公安县、松滋市、江陵县、监利市范围内随机抽取专家；</w:t>
      </w: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9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江陵县交易（采购）中心受理的项目，应在江陵县、荆州市（城区）、公安县、石首市、监利市范围内随机抽取专家；</w:t>
      </w: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9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监利市交易（采购）中心受理的项目，应在监利市、江陵县、石首市、洪湖市、潜江市、仙桃市、天门市范围内随机抽取专家；</w:t>
      </w: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9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洪湖市交易（采购）中心受理的项目，应在洪湖市、监利市、赤壁市、嘉鱼县、武汉市、仙桃市范围内随机抽取专家。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rightChars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  <w:shd w:val="clear" w:color="auto" w:fill="FFFFFF"/>
          <w:lang w:val="en-US" w:eastAsia="zh-CN" w:bidi="ar"/>
        </w:rPr>
        <w:t>五、相关要求</w:t>
      </w: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9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各级公共资源交易监管局要会同同级交易（采购）中心，推进相邻区域专家共享使用，做好专家抽取使用、考评考核和服务保障等工作，尤其是抽取使用要做到全程留痕、可追溯，确保评标组织规范、高效。</w:t>
      </w: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9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在共享使用区域内跨县（市、区）参加评标的专家（不含同一设区市下辖区与区之间），交通费按照50公里以内每人100元、50公里以上每人200元的标准包干发放，其他评标劳务费（评审费、异地评标补贴、误工费）按照《湖北省评标（评审）专家及专家库管理办法》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</w:t>
      </w:r>
      <w:r>
        <w:rPr>
          <w:rFonts w:hint="eastAsia" w:ascii="仿宋_GB2312" w:hAnsi="仿宋" w:eastAsia="仿宋_GB2312" w:cs="仿宋"/>
          <w:sz w:val="32"/>
          <w:szCs w:val="32"/>
          <w:lang w:bidi="ar"/>
        </w:rPr>
        <w:t>鄂公管委发〔2021〕6号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）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有关规定发放。评标结束时间晚于22时，招标人或其委托的招标代理机构应当为异地评标专家安排住宿，异地评标专家一般应在评标地留宿，第二天返回。</w:t>
      </w: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9" w:lineRule="exact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</w:p>
    <w:p>
      <w:pPr>
        <w:pStyle w:val="7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9" w:lineRule="exact"/>
        <w:ind w:left="210" w:leftChars="10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</w:pPr>
    </w:p>
    <w:p>
      <w:pPr>
        <w:pStyle w:val="7"/>
        <w:shd w:val="clear" w:color="auto" w:fill="FFFFFF"/>
        <w:overflowPunct w:val="0"/>
        <w:adjustRightInd w:val="0"/>
        <w:snapToGrid w:val="0"/>
        <w:spacing w:before="0" w:beforeAutospacing="0" w:after="0" w:afterAutospacing="0" w:line="579" w:lineRule="exact"/>
        <w:ind w:firstLine="480" w:firstLineChars="200"/>
        <w:jc w:val="both"/>
      </w:pPr>
    </w:p>
    <w:p>
      <w:pPr>
        <w:adjustRightInd w:val="0"/>
        <w:snapToGrid w:val="0"/>
        <w:spacing w:line="300" w:lineRule="auto"/>
        <w:rPr>
          <w:rFonts w:ascii="仿宋" w:hAnsi="仿宋" w:eastAsia="仿宋" w:cs="仿宋"/>
          <w:sz w:val="32"/>
          <w:szCs w:val="32"/>
        </w:rPr>
      </w:pPr>
    </w:p>
    <w:p>
      <w:pPr>
        <w:pStyle w:val="7"/>
        <w:shd w:val="clear" w:color="auto" w:fill="FFFFFF"/>
        <w:overflowPunct w:val="0"/>
        <w:adjustRightInd w:val="0"/>
        <w:snapToGrid w:val="0"/>
        <w:spacing w:before="0" w:beforeAutospacing="0" w:after="0" w:afterAutospacing="0" w:line="579" w:lineRule="exact"/>
        <w:ind w:firstLine="480" w:firstLineChars="200"/>
        <w:jc w:val="both"/>
      </w:pPr>
    </w:p>
    <w:sectPr>
      <w:footerReference r:id="rId10" w:type="first"/>
      <w:headerReference r:id="rId6" w:type="default"/>
      <w:footerReference r:id="rId8" w:type="default"/>
      <w:headerReference r:id="rId7" w:type="even"/>
      <w:footerReference r:id="rId9" w:type="even"/>
      <w:pgSz w:w="11906" w:h="16838"/>
      <w:pgMar w:top="2098" w:right="1474" w:bottom="1418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大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both"/>
      <w:rPr>
        <w:rFonts w:asciiTheme="minorEastAsia" w:hAnsiTheme="minorEastAsia"/>
        <w:sz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Theme="minorEastAsia" w:hAnsiTheme="minorEastAsia"/>
        <w:sz w:val="28"/>
      </w:rPr>
      <w:id w:val="2043857141"/>
    </w:sdtPr>
    <w:sdtEndPr>
      <w:rPr>
        <w:rFonts w:asciiTheme="minorEastAsia" w:hAnsiTheme="minorEastAsia"/>
        <w:sz w:val="28"/>
      </w:rPr>
    </w:sdtEndPr>
    <w:sdtContent>
      <w:p>
        <w:pPr>
          <w:pStyle w:val="5"/>
          <w:rPr>
            <w:rFonts w:asciiTheme="minorEastAsia" w:hAnsiTheme="minorEastAsia"/>
            <w:sz w:val="28"/>
          </w:rPr>
        </w:pPr>
        <w:r>
          <w:rPr>
            <w:rFonts w:hint="eastAsia" w:asciiTheme="minorEastAsia" w:hAnsiTheme="minorEastAsia"/>
            <w:sz w:val="28"/>
          </w:rPr>
          <w:t xml:space="preserve">— </w:t>
        </w:r>
        <w:r>
          <w:rPr>
            <w:rFonts w:asciiTheme="minorEastAsia" w:hAnsiTheme="minorEastAsia"/>
            <w:sz w:val="28"/>
          </w:rPr>
          <w:fldChar w:fldCharType="begin"/>
        </w:r>
        <w:r>
          <w:rPr>
            <w:rFonts w:asciiTheme="minorEastAsia" w:hAnsiTheme="minorEastAsia"/>
            <w:sz w:val="28"/>
          </w:rPr>
          <w:instrText xml:space="preserve">PAGE   \* MERGEFORMAT</w:instrText>
        </w:r>
        <w:r>
          <w:rPr>
            <w:rFonts w:asciiTheme="minorEastAsia" w:hAnsiTheme="minorEastAsia"/>
            <w:sz w:val="28"/>
          </w:rPr>
          <w:fldChar w:fldCharType="separate"/>
        </w:r>
        <w:r>
          <w:rPr>
            <w:rFonts w:asciiTheme="minorEastAsia" w:hAnsiTheme="minorEastAsia"/>
            <w:sz w:val="28"/>
            <w:lang w:val="zh-CN"/>
          </w:rPr>
          <w:t>2</w:t>
        </w:r>
        <w:r>
          <w:rPr>
            <w:rFonts w:asciiTheme="minorEastAsia" w:hAnsiTheme="minorEastAsia"/>
            <w:sz w:val="28"/>
          </w:rPr>
          <w:fldChar w:fldCharType="end"/>
        </w:r>
        <w:r>
          <w:rPr>
            <w:rFonts w:hint="eastAsia" w:asciiTheme="minorEastAsia" w:hAnsiTheme="minorEastAsia"/>
            <w:sz w:val="28"/>
          </w:rPr>
          <w:t xml:space="preserve"> —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Theme="minorEastAsia" w:hAnsiTheme="minorEastAsia"/>
        <w:sz w:val="28"/>
      </w:rPr>
      <w:id w:val="1671451402"/>
    </w:sdtPr>
    <w:sdtEndPr>
      <w:rPr>
        <w:rFonts w:asciiTheme="minorEastAsia" w:hAnsiTheme="minorEastAsia"/>
        <w:sz w:val="28"/>
      </w:rPr>
    </w:sdtEndPr>
    <w:sdtContent>
      <w:p>
        <w:pPr>
          <w:pStyle w:val="5"/>
          <w:rPr>
            <w:rFonts w:asciiTheme="minorEastAsia" w:hAnsiTheme="minorEastAsia"/>
            <w:sz w:val="28"/>
          </w:rPr>
        </w:pPr>
        <w:r>
          <w:rPr>
            <w:rFonts w:hint="eastAsia" w:asciiTheme="minorEastAsia" w:hAnsiTheme="minorEastAsia"/>
            <w:sz w:val="28"/>
          </w:rPr>
          <w:t xml:space="preserve">— </w:t>
        </w:r>
        <w:r>
          <w:rPr>
            <w:rFonts w:asciiTheme="minorEastAsia" w:hAnsiTheme="minorEastAsia"/>
            <w:sz w:val="28"/>
          </w:rPr>
          <w:fldChar w:fldCharType="begin"/>
        </w:r>
        <w:r>
          <w:rPr>
            <w:rFonts w:asciiTheme="minorEastAsia" w:hAnsiTheme="minorEastAsia"/>
            <w:sz w:val="28"/>
          </w:rPr>
          <w:instrText xml:space="preserve">PAGE   \* MERGEFORMAT</w:instrText>
        </w:r>
        <w:r>
          <w:rPr>
            <w:rFonts w:asciiTheme="minorEastAsia" w:hAnsiTheme="minorEastAsia"/>
            <w:sz w:val="28"/>
          </w:rPr>
          <w:fldChar w:fldCharType="separate"/>
        </w:r>
        <w:r>
          <w:rPr>
            <w:rFonts w:asciiTheme="minorEastAsia" w:hAnsiTheme="minorEastAsia"/>
            <w:sz w:val="28"/>
            <w:lang w:val="zh-CN"/>
          </w:rPr>
          <w:t>1</w:t>
        </w:r>
        <w:r>
          <w:rPr>
            <w:rFonts w:asciiTheme="minorEastAsia" w:hAnsiTheme="minorEastAsia"/>
            <w:sz w:val="28"/>
          </w:rPr>
          <w:fldChar w:fldCharType="end"/>
        </w:r>
        <w:r>
          <w:rPr>
            <w:rFonts w:hint="eastAsia" w:asciiTheme="minorEastAsia" w:hAnsiTheme="minorEastAsia"/>
            <w:sz w:val="28"/>
          </w:rPr>
          <w:t xml:space="preserve"> —</w:t>
        </w:r>
      </w:p>
    </w:sdtContent>
  </w:sdt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right"/>
      <w:rPr>
        <w:rFonts w:asciiTheme="minorEastAsia" w:hAnsiTheme="minorEastAsia"/>
        <w:sz w:val="28"/>
      </w:rPr>
    </w:pPr>
    <w:sdt>
      <w:sdtPr>
        <w:rPr>
          <w:rFonts w:asciiTheme="minorEastAsia" w:hAnsiTheme="minorEastAsia"/>
          <w:sz w:val="28"/>
        </w:rPr>
        <w:id w:val="-1468741684"/>
        <w:docPartObj>
          <w:docPartGallery w:val="autotext"/>
        </w:docPartObj>
      </w:sdtPr>
      <w:sdtEndPr>
        <w:rPr>
          <w:rFonts w:asciiTheme="minorEastAsia" w:hAnsiTheme="minorEastAsia"/>
          <w:sz w:val="28"/>
        </w:rPr>
      </w:sdtEndPr>
      <w:sdtContent>
        <w:r>
          <w:rPr>
            <w:rFonts w:hint="eastAsia" w:asciiTheme="minorEastAsia" w:hAnsiTheme="minorEastAsia"/>
            <w:sz w:val="28"/>
          </w:rPr>
          <w:t xml:space="preserve">— </w:t>
        </w:r>
        <w:r>
          <w:rPr>
            <w:rFonts w:asciiTheme="minorEastAsia" w:hAnsiTheme="minorEastAsia"/>
            <w:sz w:val="28"/>
          </w:rPr>
          <w:fldChar w:fldCharType="begin"/>
        </w:r>
        <w:r>
          <w:rPr>
            <w:rFonts w:asciiTheme="minorEastAsia" w:hAnsiTheme="minorEastAsia"/>
            <w:sz w:val="28"/>
          </w:rPr>
          <w:instrText xml:space="preserve">PAGE   \* MERGEFORMAT</w:instrText>
        </w:r>
        <w:r>
          <w:rPr>
            <w:rFonts w:asciiTheme="minorEastAsia" w:hAnsiTheme="minorEastAsia"/>
            <w:sz w:val="28"/>
          </w:rPr>
          <w:fldChar w:fldCharType="separate"/>
        </w:r>
        <w:r>
          <w:rPr>
            <w:rFonts w:asciiTheme="minorEastAsia" w:hAnsiTheme="minorEastAsia"/>
            <w:sz w:val="28"/>
            <w:lang w:val="zh-CN"/>
          </w:rPr>
          <w:t>5</w:t>
        </w:r>
        <w:r>
          <w:rPr>
            <w:rFonts w:asciiTheme="minorEastAsia" w:hAnsiTheme="minorEastAsia"/>
            <w:sz w:val="28"/>
          </w:rPr>
          <w:fldChar w:fldCharType="end"/>
        </w:r>
      </w:sdtContent>
    </w:sdt>
    <w:r>
      <w:rPr>
        <w:rFonts w:hint="eastAsia" w:asciiTheme="minorEastAsia" w:hAnsiTheme="minorEastAsia"/>
        <w:sz w:val="28"/>
      </w:rPr>
      <w:t xml:space="preserve"> —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Theme="minorEastAsia" w:hAnsiTheme="minorEastAsia"/>
        <w:sz w:val="28"/>
      </w:rPr>
      <w:id w:val="1800640519"/>
      <w:docPartObj>
        <w:docPartGallery w:val="autotext"/>
      </w:docPartObj>
    </w:sdtPr>
    <w:sdtEndPr>
      <w:rPr>
        <w:rFonts w:asciiTheme="minorEastAsia" w:hAnsiTheme="minorEastAsia"/>
        <w:sz w:val="28"/>
      </w:rPr>
    </w:sdtEndPr>
    <w:sdtContent>
      <w:p>
        <w:pPr>
          <w:pStyle w:val="5"/>
          <w:rPr>
            <w:rFonts w:asciiTheme="minorEastAsia" w:hAnsiTheme="minorEastAsia"/>
            <w:sz w:val="28"/>
          </w:rPr>
        </w:pPr>
        <w:r>
          <w:rPr>
            <w:rFonts w:hint="eastAsia" w:asciiTheme="minorEastAsia" w:hAnsiTheme="minorEastAsia"/>
            <w:sz w:val="28"/>
          </w:rPr>
          <w:t xml:space="preserve">— </w:t>
        </w:r>
        <w:r>
          <w:rPr>
            <w:rFonts w:asciiTheme="minorEastAsia" w:hAnsiTheme="minorEastAsia"/>
            <w:sz w:val="28"/>
          </w:rPr>
          <w:fldChar w:fldCharType="begin"/>
        </w:r>
        <w:r>
          <w:rPr>
            <w:rFonts w:asciiTheme="minorEastAsia" w:hAnsiTheme="minorEastAsia"/>
            <w:sz w:val="28"/>
          </w:rPr>
          <w:instrText xml:space="preserve">PAGE   \* MERGEFORMAT</w:instrText>
        </w:r>
        <w:r>
          <w:rPr>
            <w:rFonts w:asciiTheme="minorEastAsia" w:hAnsiTheme="minorEastAsia"/>
            <w:sz w:val="28"/>
          </w:rPr>
          <w:fldChar w:fldCharType="separate"/>
        </w:r>
        <w:r>
          <w:rPr>
            <w:rFonts w:asciiTheme="minorEastAsia" w:hAnsiTheme="minorEastAsia"/>
            <w:sz w:val="28"/>
            <w:lang w:val="zh-CN"/>
          </w:rPr>
          <w:t>6</w:t>
        </w:r>
        <w:r>
          <w:rPr>
            <w:rFonts w:asciiTheme="minorEastAsia" w:hAnsiTheme="minorEastAsia"/>
            <w:sz w:val="28"/>
          </w:rPr>
          <w:fldChar w:fldCharType="end"/>
        </w:r>
        <w:r>
          <w:rPr>
            <w:rFonts w:hint="eastAsia" w:asciiTheme="minorEastAsia" w:hAnsiTheme="minorEastAsia"/>
            <w:sz w:val="28"/>
          </w:rPr>
          <w:t xml:space="preserve"> —</w:t>
        </w:r>
      </w:p>
    </w:sdtContent>
  </w:sdt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Theme="minorEastAsia" w:hAnsiTheme="minorEastAsia"/>
        <w:sz w:val="28"/>
      </w:rPr>
      <w:id w:val="933089645"/>
    </w:sdtPr>
    <w:sdtEndPr>
      <w:rPr>
        <w:rFonts w:asciiTheme="minorEastAsia" w:hAnsiTheme="minorEastAsia"/>
        <w:sz w:val="28"/>
      </w:rPr>
    </w:sdtEndPr>
    <w:sdtContent>
      <w:p>
        <w:pPr>
          <w:pStyle w:val="5"/>
          <w:rPr>
            <w:rFonts w:asciiTheme="minorEastAsia" w:hAnsiTheme="minorEastAsia"/>
            <w:sz w:val="28"/>
          </w:rPr>
        </w:pPr>
        <w:r>
          <w:rPr>
            <w:rFonts w:hint="eastAsia" w:asciiTheme="minorEastAsia" w:hAnsiTheme="minorEastAsia"/>
            <w:sz w:val="28"/>
          </w:rPr>
          <w:t xml:space="preserve">— </w:t>
        </w:r>
        <w:r>
          <w:rPr>
            <w:rFonts w:asciiTheme="minorEastAsia" w:hAnsiTheme="minorEastAsia"/>
            <w:sz w:val="28"/>
          </w:rPr>
          <w:fldChar w:fldCharType="begin"/>
        </w:r>
        <w:r>
          <w:rPr>
            <w:rFonts w:asciiTheme="minorEastAsia" w:hAnsiTheme="minorEastAsia"/>
            <w:sz w:val="28"/>
          </w:rPr>
          <w:instrText xml:space="preserve">PAGE   \* MERGEFORMAT</w:instrText>
        </w:r>
        <w:r>
          <w:rPr>
            <w:rFonts w:asciiTheme="minorEastAsia" w:hAnsiTheme="minorEastAsia"/>
            <w:sz w:val="28"/>
          </w:rPr>
          <w:fldChar w:fldCharType="separate"/>
        </w:r>
        <w:r>
          <w:rPr>
            <w:rFonts w:asciiTheme="minorEastAsia" w:hAnsiTheme="minorEastAsia"/>
            <w:sz w:val="28"/>
            <w:lang w:val="zh-CN"/>
          </w:rPr>
          <w:t>1</w:t>
        </w:r>
        <w:r>
          <w:rPr>
            <w:rFonts w:asciiTheme="minorEastAsia" w:hAnsiTheme="minorEastAsia"/>
            <w:sz w:val="28"/>
          </w:rPr>
          <w:fldChar w:fldCharType="end"/>
        </w:r>
        <w:r>
          <w:rPr>
            <w:rFonts w:hint="eastAsia" w:asciiTheme="minorEastAsia" w:hAnsiTheme="minorEastAsia"/>
            <w:sz w:val="28"/>
          </w:rPr>
          <w:t xml:space="preserve"> —</w:t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A8409C9"/>
    <w:multiLevelType w:val="singleLevel"/>
    <w:tmpl w:val="CA8409C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embedSystemFonts/>
  <w:bordersDoNotSurroundHeader w:val="1"/>
  <w:bordersDoNotSurroundFooter w:val="1"/>
  <w:documentProtection w:enforcement="0"/>
  <w:defaultTabStop w:val="420"/>
  <w:evenAndOddHeaders w:val="1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UwZDdjOWM4MWZhNjE2MmRhMTI3NmViYWQ4ZTJkMGYifQ=="/>
  </w:docVars>
  <w:rsids>
    <w:rsidRoot w:val="78D757F4"/>
    <w:rsid w:val="00007970"/>
    <w:rsid w:val="000860ED"/>
    <w:rsid w:val="000D57EA"/>
    <w:rsid w:val="000D73C2"/>
    <w:rsid w:val="002A5DB1"/>
    <w:rsid w:val="004C4CC8"/>
    <w:rsid w:val="00534F77"/>
    <w:rsid w:val="005D1873"/>
    <w:rsid w:val="006071A1"/>
    <w:rsid w:val="006622B0"/>
    <w:rsid w:val="00676613"/>
    <w:rsid w:val="006A38FC"/>
    <w:rsid w:val="00876FE6"/>
    <w:rsid w:val="008B7638"/>
    <w:rsid w:val="00962700"/>
    <w:rsid w:val="009F7063"/>
    <w:rsid w:val="00A85F13"/>
    <w:rsid w:val="00A914D3"/>
    <w:rsid w:val="00AF7D12"/>
    <w:rsid w:val="00BD45B1"/>
    <w:rsid w:val="00BF3B61"/>
    <w:rsid w:val="00C25F2D"/>
    <w:rsid w:val="00CB330A"/>
    <w:rsid w:val="00DA643E"/>
    <w:rsid w:val="00DC03FC"/>
    <w:rsid w:val="00DE0555"/>
    <w:rsid w:val="00E45410"/>
    <w:rsid w:val="00E6782D"/>
    <w:rsid w:val="00F40D9B"/>
    <w:rsid w:val="00F8626A"/>
    <w:rsid w:val="00FA55F0"/>
    <w:rsid w:val="0179691D"/>
    <w:rsid w:val="139158EF"/>
    <w:rsid w:val="14F2731F"/>
    <w:rsid w:val="15621D86"/>
    <w:rsid w:val="17F56230"/>
    <w:rsid w:val="18923E8B"/>
    <w:rsid w:val="1A78055F"/>
    <w:rsid w:val="1C4E2FE6"/>
    <w:rsid w:val="20967C37"/>
    <w:rsid w:val="2423778D"/>
    <w:rsid w:val="2DBA2C59"/>
    <w:rsid w:val="3CFD0E10"/>
    <w:rsid w:val="41505D6A"/>
    <w:rsid w:val="4AAA6A41"/>
    <w:rsid w:val="4AB8394F"/>
    <w:rsid w:val="4BAB3CF7"/>
    <w:rsid w:val="524170EC"/>
    <w:rsid w:val="684E16D7"/>
    <w:rsid w:val="70C634E9"/>
    <w:rsid w:val="77782005"/>
    <w:rsid w:val="78D757F4"/>
    <w:rsid w:val="7E35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line="600" w:lineRule="atLeast"/>
      <w:ind w:firstLine="705"/>
    </w:pPr>
    <w:rPr>
      <w:rFonts w:ascii="宋体" w:hAnsi="宋体" w:eastAsia="仿宋_GB2312"/>
      <w:b/>
      <w:sz w:val="32"/>
    </w:rPr>
  </w:style>
  <w:style w:type="paragraph" w:styleId="3">
    <w:name w:val="Plain Text"/>
    <w:basedOn w:val="1"/>
    <w:link w:val="14"/>
    <w:qFormat/>
    <w:uiPriority w:val="0"/>
    <w:rPr>
      <w:rFonts w:ascii="宋体" w:hAnsi="Courier New"/>
    </w:rPr>
  </w:style>
  <w:style w:type="paragraph" w:styleId="4">
    <w:name w:val="Balloon Text"/>
    <w:basedOn w:val="1"/>
    <w:link w:val="13"/>
    <w:qFormat/>
    <w:uiPriority w:val="0"/>
    <w:rPr>
      <w:sz w:val="18"/>
      <w:szCs w:val="18"/>
    </w:rPr>
  </w:style>
  <w:style w:type="paragraph" w:styleId="5">
    <w:name w:val="footer"/>
    <w:basedOn w:val="1"/>
    <w:link w:val="1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paragraph" w:styleId="8">
    <w:name w:val="Body Text First Indent 2"/>
    <w:basedOn w:val="2"/>
    <w:next w:val="1"/>
    <w:qFormat/>
    <w:uiPriority w:val="0"/>
    <w:pPr>
      <w:widowControl/>
      <w:ind w:firstLine="420"/>
      <w:jc w:val="left"/>
    </w:pPr>
    <w:rPr>
      <w:rFonts w:ascii="Times New Roman" w:hAnsi="Times New Roman"/>
      <w:kern w:val="0"/>
      <w:sz w:val="24"/>
      <w:szCs w:val="22"/>
    </w:rPr>
  </w:style>
  <w:style w:type="table" w:styleId="10">
    <w:name w:val="Table Grid"/>
    <w:basedOn w:val="9"/>
    <w:qFormat/>
    <w:uiPriority w:val="39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Hyperlink"/>
    <w:basedOn w:val="11"/>
    <w:qFormat/>
    <w:uiPriority w:val="0"/>
    <w:rPr>
      <w:color w:val="136EC2"/>
      <w:u w:val="none"/>
    </w:rPr>
  </w:style>
  <w:style w:type="character" w:customStyle="1" w:styleId="13">
    <w:name w:val="批注框文本 Char"/>
    <w:basedOn w:val="11"/>
    <w:link w:val="4"/>
    <w:qFormat/>
    <w:uiPriority w:val="0"/>
    <w:rPr>
      <w:kern w:val="2"/>
      <w:sz w:val="18"/>
      <w:szCs w:val="18"/>
    </w:rPr>
  </w:style>
  <w:style w:type="character" w:customStyle="1" w:styleId="14">
    <w:name w:val="纯文本 Char"/>
    <w:basedOn w:val="11"/>
    <w:link w:val="3"/>
    <w:qFormat/>
    <w:uiPriority w:val="0"/>
    <w:rPr>
      <w:rFonts w:ascii="宋体" w:hAnsi="Courier New"/>
      <w:kern w:val="2"/>
      <w:sz w:val="21"/>
      <w:szCs w:val="24"/>
    </w:rPr>
  </w:style>
  <w:style w:type="character" w:customStyle="1" w:styleId="15">
    <w:name w:val="页脚 Char"/>
    <w:basedOn w:val="11"/>
    <w:link w:val="5"/>
    <w:qFormat/>
    <w:uiPriority w:val="99"/>
    <w:rPr>
      <w:kern w:val="2"/>
      <w:sz w:val="1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header" Target="header2.xml"/><Relationship Id="rId6" Type="http://schemas.openxmlformats.org/officeDocument/2006/relationships/header" Target="header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8BCA8EA-EFAB-422F-8A81-110E7065228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微软公司</Company>
  <Pages>4</Pages>
  <Words>1504</Words>
  <Characters>1530</Characters>
  <Lines>21</Lines>
  <Paragraphs>6</Paragraphs>
  <TotalTime>1</TotalTime>
  <ScaleCrop>false</ScaleCrop>
  <LinksUpToDate>false</LinksUpToDate>
  <CharactersWithSpaces>1850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2022-03-14T06:12:00Z</dcterms:created>
  <dc:creator>Lenovo</dc:creator>
  <cp:lastModifiedBy>lenovo</cp:lastModifiedBy>
  <cp:lastPrinted>2022-06-01T01:51:00Z</cp:lastPrinted>
  <dcterms:modified xsi:type="dcterms:W3CDTF">2023-04-03T03:39:54Z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  <property fmtid="{D5CDD505-2E9C-101B-9397-08002B2CF9AE}" pid="3" name="ICV">
    <vt:lpwstr>C1F56A9D10F54DAD8EC68C540B76993B</vt:lpwstr>
  </property>
</Properties>
</file>