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color w:val="000000"/>
          <w:kern w:val="2"/>
          <w:sz w:val="44"/>
          <w:szCs w:val="44"/>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both"/>
        <w:textAlignment w:val="auto"/>
        <w:rPr>
          <w:rFonts w:hint="eastAsia"/>
        </w:rPr>
      </w:pPr>
    </w:p>
    <w:p>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黄政数局发〔</w:t>
      </w:r>
      <w:r>
        <w:rPr>
          <w:rFonts w:hint="eastAsia" w:ascii="仿宋_GB2312" w:hAnsi="仿宋_GB2312" w:eastAsia="仿宋_GB2312" w:cs="仿宋_GB2312"/>
          <w:sz w:val="32"/>
          <w:szCs w:val="32"/>
          <w:lang w:val="en-US" w:eastAsia="zh-CN"/>
        </w:rPr>
        <w:t>2020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11号</w:t>
      </w:r>
    </w:p>
    <w:p>
      <w:pPr>
        <w:keepNext w:val="0"/>
        <w:keepLines w:val="0"/>
        <w:pageBreakBefore w:val="0"/>
        <w:kinsoku/>
        <w:wordWrap/>
        <w:overflowPunct/>
        <w:topLinePunct w:val="0"/>
        <w:autoSpaceDE/>
        <w:autoSpaceDN/>
        <w:bidi w:val="0"/>
        <w:adjustRightInd/>
        <w:snapToGrid/>
        <w:spacing w:line="480" w:lineRule="exact"/>
        <w:ind w:left="0" w:leftChars="0" w:right="0" w:rightChars="0"/>
        <w:jc w:val="center"/>
        <w:textAlignment w:val="auto"/>
        <w:rPr>
          <w:rFonts w:hint="eastAsia" w:ascii="仿宋_GB2312" w:hAnsi="仿宋_GB2312" w:eastAsia="仿宋_GB2312" w:cs="仿宋_GB2312"/>
          <w:sz w:val="32"/>
          <w:szCs w:val="32"/>
          <w:lang w:val="en-US" w:eastAsia="zh-CN"/>
        </w:rPr>
      </w:pPr>
    </w:p>
    <w:p>
      <w:pPr>
        <w:keepNext w:val="0"/>
        <w:keepLines w:val="0"/>
        <w:pageBreakBefore w:val="0"/>
        <w:kinsoku/>
        <w:wordWrap/>
        <w:overflowPunct/>
        <w:topLinePunct w:val="0"/>
        <w:autoSpaceDE/>
        <w:autoSpaceDN/>
        <w:bidi w:val="0"/>
        <w:adjustRightInd/>
        <w:snapToGrid/>
        <w:spacing w:line="480" w:lineRule="exact"/>
        <w:ind w:left="0" w:leftChars="0" w:right="0" w:rightChars="0"/>
        <w:jc w:val="center"/>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outlineLvl w:val="9"/>
        <w:rPr>
          <w:rFonts w:ascii="方正小标宋简体" w:hAnsi="黑体" w:eastAsia="方正小标宋简体"/>
          <w:bCs/>
          <w:color w:val="000000"/>
          <w:sz w:val="44"/>
          <w:szCs w:val="44"/>
        </w:rPr>
      </w:pPr>
      <w:r>
        <w:rPr>
          <w:rFonts w:hint="eastAsia" w:ascii="方正小标宋简体" w:hAnsi="黑体" w:eastAsia="方正小标宋简体"/>
          <w:bCs/>
          <w:color w:val="000000"/>
          <w:sz w:val="44"/>
          <w:szCs w:val="44"/>
        </w:rPr>
        <w:t>关于印发《黄石市公共资源交易中心</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outlineLvl w:val="9"/>
        <w:rPr>
          <w:rFonts w:ascii="方正小标宋简体" w:hAnsi="黑体" w:eastAsia="方正小标宋简体"/>
          <w:bCs/>
          <w:color w:val="000000"/>
          <w:sz w:val="44"/>
          <w:szCs w:val="44"/>
        </w:rPr>
      </w:pPr>
      <w:r>
        <w:rPr>
          <w:rFonts w:hint="eastAsia" w:ascii="方正小标宋简体" w:hAnsi="黑体" w:eastAsia="方正小标宋简体"/>
          <w:bCs/>
          <w:color w:val="000000"/>
          <w:sz w:val="44"/>
          <w:szCs w:val="44"/>
        </w:rPr>
        <w:t>工程建设项目进场交易运行规程》的通知</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center"/>
        <w:textAlignment w:val="auto"/>
        <w:outlineLvl w:val="9"/>
        <w:rPr>
          <w:rFonts w:hint="eastAsia" w:ascii="方正小标宋简体" w:hAnsi="黑体" w:eastAsia="方正小标宋简体"/>
          <w:bCs/>
          <w:color w:val="000000"/>
          <w:sz w:val="44"/>
          <w:szCs w:val="44"/>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jc w:val="left"/>
        <w:textAlignment w:val="auto"/>
        <w:outlineLvl w:val="9"/>
        <w:rPr>
          <w:rFonts w:hint="eastAsia" w:ascii="仿宋_GB2312" w:hAnsi="黑体" w:eastAsia="仿宋_GB2312"/>
          <w:bCs/>
          <w:color w:val="000000"/>
          <w:sz w:val="32"/>
          <w:szCs w:val="32"/>
        </w:rPr>
      </w:pPr>
      <w:r>
        <w:rPr>
          <w:rFonts w:hint="eastAsia" w:ascii="仿宋_GB2312" w:hAnsi="黑体" w:eastAsia="仿宋_GB2312"/>
          <w:bCs/>
          <w:color w:val="000000"/>
          <w:sz w:val="32"/>
          <w:szCs w:val="32"/>
        </w:rPr>
        <w:t>各有关单位：</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5"/>
        <w:jc w:val="left"/>
        <w:textAlignment w:val="auto"/>
        <w:outlineLvl w:val="9"/>
        <w:rPr>
          <w:rFonts w:hint="eastAsia" w:ascii="仿宋_GB2312" w:hAnsi="黑体" w:eastAsia="仿宋_GB2312"/>
          <w:bCs/>
          <w:color w:val="000000"/>
          <w:sz w:val="32"/>
          <w:szCs w:val="32"/>
        </w:rPr>
      </w:pPr>
      <w:r>
        <w:rPr>
          <w:rFonts w:hint="eastAsia" w:ascii="仿宋_GB2312" w:hAnsi="黑体" w:eastAsia="仿宋_GB2312"/>
          <w:bCs/>
          <w:color w:val="000000"/>
          <w:sz w:val="32"/>
          <w:szCs w:val="32"/>
        </w:rPr>
        <w:t>为进一步规范黄石市公共资源交易中心进场交易项目运行与管理，建立公开透明、公平公正的竞争环境，现将《黄石市公共资源交易中心工程建设项目进场交易运行规程》印发你们，请遵照执行。</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5"/>
        <w:jc w:val="left"/>
        <w:textAlignment w:val="auto"/>
        <w:outlineLvl w:val="9"/>
        <w:rPr>
          <w:rFonts w:hint="eastAsia" w:ascii="仿宋_GB2312" w:hAnsi="黑体" w:eastAsia="仿宋_GB2312"/>
          <w:bCs/>
          <w:color w:val="000000"/>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5"/>
        <w:jc w:val="left"/>
        <w:textAlignment w:val="auto"/>
        <w:outlineLvl w:val="9"/>
        <w:rPr>
          <w:rFonts w:hint="eastAsia" w:ascii="仿宋_GB2312" w:hAnsi="黑体" w:eastAsia="仿宋_GB2312"/>
          <w:bCs/>
          <w:color w:val="000000"/>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5"/>
        <w:jc w:val="left"/>
        <w:textAlignment w:val="auto"/>
        <w:outlineLvl w:val="9"/>
        <w:rPr>
          <w:rFonts w:hint="eastAsia" w:ascii="仿宋_GB2312" w:hAnsi="黑体" w:eastAsia="仿宋_GB2312"/>
          <w:bCs/>
          <w:color w:val="000000"/>
          <w:sz w:val="32"/>
          <w:szCs w:val="32"/>
        </w:rPr>
      </w:pPr>
      <w:r>
        <w:rPr>
          <w:rFonts w:hint="eastAsia" w:ascii="仿宋_GB2312" w:hAnsi="黑体" w:eastAsia="仿宋_GB2312"/>
          <w:bCs/>
          <w:color w:val="000000"/>
          <w:sz w:val="32"/>
          <w:szCs w:val="32"/>
        </w:rPr>
        <w:t xml:space="preserve">                      黄石市政务服务和大数据管理局</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5"/>
        <w:jc w:val="left"/>
        <w:textAlignment w:val="auto"/>
        <w:outlineLvl w:val="9"/>
        <w:rPr>
          <w:rFonts w:hint="eastAsia" w:ascii="仿宋_GB2312" w:hAnsi="黑体" w:eastAsia="仿宋_GB2312"/>
          <w:bCs/>
          <w:color w:val="000000"/>
          <w:sz w:val="32"/>
          <w:szCs w:val="32"/>
        </w:rPr>
      </w:pPr>
      <w:r>
        <w:rPr>
          <w:rFonts w:hint="eastAsia" w:ascii="仿宋_GB2312" w:hAnsi="黑体" w:eastAsia="仿宋_GB2312"/>
          <w:bCs/>
          <w:color w:val="000000"/>
          <w:sz w:val="32"/>
          <w:szCs w:val="32"/>
        </w:rPr>
        <w:t xml:space="preserve">                          </w:t>
      </w:r>
      <w:r>
        <w:rPr>
          <w:rFonts w:hint="eastAsia" w:ascii="仿宋_GB2312" w:hAnsi="黑体" w:eastAsia="仿宋_GB2312"/>
          <w:bCs/>
          <w:color w:val="000000"/>
          <w:sz w:val="32"/>
          <w:szCs w:val="32"/>
          <w:lang w:val="en-US" w:eastAsia="zh-CN"/>
        </w:rPr>
        <w:t xml:space="preserve">   </w:t>
      </w:r>
      <w:r>
        <w:rPr>
          <w:rFonts w:hint="eastAsia" w:ascii="仿宋_GB2312" w:hAnsi="黑体" w:eastAsia="仿宋_GB2312"/>
          <w:bCs/>
          <w:color w:val="000000"/>
          <w:sz w:val="32"/>
          <w:szCs w:val="32"/>
        </w:rPr>
        <w:t>2020年</w:t>
      </w:r>
      <w:r>
        <w:rPr>
          <w:rFonts w:hint="eastAsia" w:ascii="仿宋_GB2312" w:hAnsi="黑体" w:eastAsia="仿宋_GB2312"/>
          <w:bCs/>
          <w:color w:val="000000"/>
          <w:sz w:val="32"/>
          <w:szCs w:val="32"/>
          <w:lang w:val="en-US" w:eastAsia="zh-CN"/>
        </w:rPr>
        <w:t>7</w:t>
      </w:r>
      <w:r>
        <w:rPr>
          <w:rFonts w:hint="eastAsia" w:ascii="仿宋_GB2312" w:hAnsi="黑体" w:eastAsia="仿宋_GB2312"/>
          <w:bCs/>
          <w:color w:val="000000"/>
          <w:sz w:val="32"/>
          <w:szCs w:val="32"/>
        </w:rPr>
        <w:t>月</w:t>
      </w:r>
      <w:r>
        <w:rPr>
          <w:rFonts w:hint="eastAsia" w:ascii="仿宋_GB2312" w:hAnsi="黑体" w:eastAsia="仿宋_GB2312"/>
          <w:bCs/>
          <w:color w:val="000000"/>
          <w:sz w:val="32"/>
          <w:szCs w:val="32"/>
          <w:lang w:val="en-US" w:eastAsia="zh-CN"/>
        </w:rPr>
        <w:t>24</w:t>
      </w:r>
      <w:r>
        <w:rPr>
          <w:rFonts w:hint="eastAsia" w:ascii="仿宋_GB2312" w:hAnsi="黑体" w:eastAsia="仿宋_GB2312"/>
          <w:bCs/>
          <w:color w:val="000000"/>
          <w:sz w:val="32"/>
          <w:szCs w:val="32"/>
        </w:rPr>
        <w:t>日</w:t>
      </w:r>
    </w:p>
    <w:p>
      <w:pPr>
        <w:widowControl/>
        <w:jc w:val="left"/>
        <w:rPr>
          <w:rFonts w:ascii="方正小标宋简体" w:hAnsi="黑体" w:eastAsia="方正小标宋简体"/>
          <w:bCs/>
          <w:color w:val="000000"/>
          <w:sz w:val="44"/>
          <w:szCs w:val="44"/>
        </w:rPr>
      </w:pPr>
      <w:r>
        <w:rPr>
          <w:rFonts w:ascii="方正小标宋简体" w:hAnsi="黑体" w:eastAsia="方正小标宋简体"/>
          <w:bCs/>
          <w:color w:val="000000"/>
          <w:sz w:val="44"/>
          <w:szCs w:val="44"/>
        </w:rPr>
        <w:br w:type="page"/>
      </w:r>
    </w:p>
    <w:p>
      <w:pPr>
        <w:adjustRightInd w:val="0"/>
        <w:snapToGrid w:val="0"/>
        <w:spacing w:line="560" w:lineRule="exact"/>
        <w:jc w:val="center"/>
        <w:rPr>
          <w:rFonts w:ascii="方正小标宋简体" w:hAnsi="黑体" w:eastAsia="方正小标宋简体"/>
          <w:bCs/>
          <w:color w:val="000000"/>
          <w:sz w:val="44"/>
          <w:szCs w:val="44"/>
        </w:rPr>
      </w:pPr>
      <w:r>
        <w:rPr>
          <w:rFonts w:hint="eastAsia" w:ascii="方正小标宋简体" w:hAnsi="黑体" w:eastAsia="方正小标宋简体"/>
          <w:bCs/>
          <w:color w:val="000000"/>
          <w:sz w:val="44"/>
          <w:szCs w:val="44"/>
        </w:rPr>
        <w:t>黄石市公共资源交易中心</w:t>
      </w:r>
    </w:p>
    <w:p>
      <w:pPr>
        <w:adjustRightInd w:val="0"/>
        <w:snapToGrid w:val="0"/>
        <w:spacing w:line="560" w:lineRule="exact"/>
        <w:jc w:val="center"/>
        <w:rPr>
          <w:rFonts w:ascii="方正小标宋简体" w:hAnsi="黑体" w:eastAsia="方正小标宋简体"/>
          <w:bCs/>
          <w:color w:val="000000"/>
          <w:sz w:val="44"/>
          <w:szCs w:val="44"/>
        </w:rPr>
      </w:pPr>
      <w:r>
        <w:rPr>
          <w:rFonts w:hint="eastAsia" w:ascii="方正小标宋简体" w:hAnsi="黑体" w:eastAsia="方正小标宋简体"/>
          <w:bCs/>
          <w:color w:val="000000"/>
          <w:sz w:val="44"/>
          <w:szCs w:val="44"/>
        </w:rPr>
        <w:t>工程建设项目进场交易运行规程</w:t>
      </w:r>
    </w:p>
    <w:p>
      <w:pPr>
        <w:adjustRightInd w:val="0"/>
        <w:snapToGrid w:val="0"/>
        <w:spacing w:line="560" w:lineRule="exact"/>
        <w:jc w:val="center"/>
        <w:rPr>
          <w:rFonts w:ascii="黑体" w:hAnsi="黑体" w:eastAsia="黑体"/>
          <w:bCs/>
          <w:color w:val="000000"/>
          <w:sz w:val="32"/>
          <w:szCs w:val="32"/>
        </w:rPr>
      </w:pPr>
    </w:p>
    <w:p>
      <w:pPr>
        <w:adjustRightInd w:val="0"/>
        <w:snapToGrid w:val="0"/>
        <w:spacing w:line="560" w:lineRule="exact"/>
        <w:jc w:val="center"/>
        <w:rPr>
          <w:rFonts w:ascii="黑体" w:hAnsi="黑体" w:eastAsia="黑体"/>
          <w:bCs/>
          <w:color w:val="000000"/>
          <w:sz w:val="32"/>
          <w:szCs w:val="32"/>
        </w:rPr>
      </w:pPr>
      <w:r>
        <w:rPr>
          <w:rFonts w:hint="eastAsia" w:ascii="黑体" w:hAnsi="黑体" w:eastAsia="黑体"/>
          <w:bCs/>
          <w:color w:val="000000"/>
          <w:sz w:val="32"/>
          <w:szCs w:val="32"/>
        </w:rPr>
        <w:t>第一章 总 则</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第一条</w:t>
      </w:r>
      <w:r>
        <w:rPr>
          <w:rFonts w:hint="eastAsia" w:ascii="仿宋_GB2312" w:hAnsi="黑体" w:eastAsia="仿宋_GB2312"/>
          <w:color w:val="000000"/>
          <w:sz w:val="32"/>
          <w:szCs w:val="32"/>
        </w:rPr>
        <w:t xml:space="preserve">  为进一步规范黄石市公共资源交易中心（以下简称“中心”）进场交易项目运行与管理，建立公开透明、公平公正的竞争环境，提高资源配置的效益与效率，根据《中华人民共和国招标投标法》及实施条例、《湖北省公共资源招标投标监督管理条例》、《公共资源交易平台管理暂行办法》、《电子招标投标办法》等有关法律法规规章规定，结合我市实际，制定本规程。</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第二条</w:t>
      </w:r>
      <w:r>
        <w:rPr>
          <w:rFonts w:hint="eastAsia" w:ascii="仿宋_GB2312" w:hAnsi="黑体" w:eastAsia="仿宋_GB2312"/>
          <w:color w:val="000000"/>
          <w:sz w:val="32"/>
          <w:szCs w:val="32"/>
        </w:rPr>
        <w:t xml:space="preserve">  本规程适用于进入中心交易的工程建设项目的运行与管理。</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第三条</w:t>
      </w:r>
      <w:r>
        <w:rPr>
          <w:rFonts w:hint="eastAsia" w:ascii="仿宋_GB2312" w:hAnsi="黑体" w:eastAsia="仿宋_GB2312"/>
          <w:color w:val="000000"/>
          <w:sz w:val="32"/>
          <w:szCs w:val="32"/>
        </w:rPr>
        <w:t xml:space="preserve">  进入中心交易的工程建设项目应当执行国家、省市公共资源交易目录进场交易范围的规定。 </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第四条</w:t>
      </w:r>
      <w:r>
        <w:rPr>
          <w:rFonts w:hint="eastAsia" w:ascii="仿宋_GB2312" w:hAnsi="黑体" w:eastAsia="仿宋_GB2312"/>
          <w:color w:val="000000"/>
          <w:sz w:val="32"/>
          <w:szCs w:val="32"/>
        </w:rPr>
        <w:t xml:space="preserve"> 进入中心交易的工程建设项目应当按照以下程序进行，包括但不限于以下内容：</w:t>
      </w:r>
    </w:p>
    <w:p>
      <w:pPr>
        <w:pStyle w:val="23"/>
        <w:spacing w:line="600" w:lineRule="exact"/>
        <w:ind w:firstLine="720" w:firstLineChars="225"/>
        <w:rPr>
          <w:rFonts w:ascii="楷体_GB2312" w:hAnsi="黑体" w:eastAsia="楷体_GB2312"/>
          <w:color w:val="000000"/>
          <w:sz w:val="32"/>
          <w:szCs w:val="32"/>
        </w:rPr>
      </w:pPr>
      <w:r>
        <w:rPr>
          <w:rFonts w:hint="eastAsia" w:ascii="楷体_GB2312" w:hAnsi="黑体" w:eastAsia="楷体_GB2312"/>
          <w:color w:val="000000"/>
          <w:sz w:val="32"/>
          <w:szCs w:val="32"/>
        </w:rPr>
        <w:t>（一）采取综合评分法的项目</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1.市场主体注册（首次进场的）；</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2.项目登记；</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3.场地安排；</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4.发布资格预审公告或招标公告；</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5.资格预审文件的编制与备案（如有）；</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6.资格预审（如有）；</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7.招标文件的编制与备案；</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8.投标文件的编制与递交；</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9.开标（除上传数据超出电子交易系统容量的设计效果图需现场递交外，其他工程建设项目统一实行“不见面”开标）；</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10.评标专家抽取；</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11.评标；</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12.中标候选人公示；</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13.中标人公告；</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14.合同备案；</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15.招投标档案管理。</w:t>
      </w:r>
    </w:p>
    <w:p>
      <w:pPr>
        <w:pStyle w:val="23"/>
        <w:spacing w:line="600" w:lineRule="exact"/>
        <w:ind w:firstLine="720" w:firstLineChars="225"/>
        <w:rPr>
          <w:rFonts w:ascii="楷体_GB2312" w:hAnsi="黑体" w:eastAsia="楷体_GB2312"/>
          <w:color w:val="000000"/>
          <w:sz w:val="32"/>
          <w:szCs w:val="32"/>
        </w:rPr>
      </w:pPr>
      <w:r>
        <w:rPr>
          <w:rFonts w:hint="eastAsia" w:ascii="楷体_GB2312" w:hAnsi="黑体" w:eastAsia="楷体_GB2312"/>
          <w:color w:val="000000"/>
          <w:sz w:val="32"/>
          <w:szCs w:val="32"/>
        </w:rPr>
        <w:t>（二）采取“评定分离”的项目</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1.市场主体注册（首次进场的）；</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2.项目登记；</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3.场地安排；</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4.发布资格预审公告或招标公告；</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5.资格预审文件的编制与备案（如有）；</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6.资格预审（如有）；</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7.招标文件的编制与备案；</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8.投标文件的编制与递交；</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9.开标（除上传数据超出电子交易系统容量的设计效果图需现场递交外，其他工程建设项目统一实行“不见面”开标）；</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10.评标专家抽取；</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11.评标；</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12.定标候选人公示；</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13.调研及清标；</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14.组建定标委员会；</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15.定标；</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16.定标结果公示；</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17.合同备案；</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18.招投标档案管理。</w:t>
      </w:r>
    </w:p>
    <w:p>
      <w:pPr>
        <w:adjustRightInd w:val="0"/>
        <w:snapToGrid w:val="0"/>
        <w:spacing w:line="560" w:lineRule="exact"/>
        <w:jc w:val="center"/>
        <w:rPr>
          <w:rFonts w:ascii="黑体" w:hAnsi="黑体" w:eastAsia="黑体"/>
          <w:bCs/>
          <w:color w:val="000000"/>
          <w:sz w:val="32"/>
          <w:szCs w:val="32"/>
          <w:highlight w:val="lightGray"/>
        </w:rPr>
      </w:pPr>
    </w:p>
    <w:p>
      <w:pPr>
        <w:adjustRightInd w:val="0"/>
        <w:snapToGrid w:val="0"/>
        <w:spacing w:line="560" w:lineRule="exact"/>
        <w:jc w:val="center"/>
        <w:rPr>
          <w:rFonts w:ascii="黑体" w:hAnsi="黑体" w:eastAsia="黑体"/>
          <w:bCs/>
          <w:color w:val="000000"/>
          <w:sz w:val="32"/>
          <w:szCs w:val="32"/>
        </w:rPr>
      </w:pPr>
      <w:r>
        <w:rPr>
          <w:rFonts w:hint="eastAsia" w:ascii="黑体" w:hAnsi="黑体" w:eastAsia="黑体"/>
          <w:bCs/>
          <w:color w:val="000000"/>
          <w:sz w:val="32"/>
          <w:szCs w:val="32"/>
        </w:rPr>
        <w:t>第二章 招标</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 xml:space="preserve">第五条  </w:t>
      </w:r>
      <w:r>
        <w:rPr>
          <w:rFonts w:hint="eastAsia" w:ascii="仿宋_GB2312" w:hAnsi="黑体" w:eastAsia="仿宋_GB2312"/>
          <w:color w:val="000000"/>
          <w:sz w:val="32"/>
          <w:szCs w:val="32"/>
        </w:rPr>
        <w:t>招标人（自行招标）、招标代理机构（委托招标）或投标人在中心参与招标投标活动的，首次必须在黄石公共资源电子交易系统（以下简称电子交易系统）进行市场主体注册，录入市场主体相关信息。市场主体上传的所有信息均在黄石市公共资源交易网对外发布，接受社会监督。招标人、招标代理机构、投标人应认真核对录入内容，对其上传资料的真实性、准确性、有效性负责，如上传材料失真，将按照《信用承诺书》承担责任。</w:t>
      </w:r>
    </w:p>
    <w:p>
      <w:pPr>
        <w:pStyle w:val="23"/>
        <w:spacing w:line="600" w:lineRule="exact"/>
        <w:ind w:firstLine="640"/>
        <w:rPr>
          <w:rFonts w:ascii="仿宋_GB2312" w:hAnsi="黑体" w:eastAsia="仿宋_GB2312"/>
          <w:color w:val="000000"/>
          <w:sz w:val="32"/>
          <w:szCs w:val="32"/>
        </w:rPr>
      </w:pPr>
      <w:r>
        <w:rPr>
          <w:rFonts w:hint="eastAsia" w:ascii="仿宋_GB2312" w:hAnsi="黑体" w:eastAsia="仿宋_GB2312"/>
          <w:color w:val="000000"/>
          <w:sz w:val="32"/>
          <w:szCs w:val="32"/>
        </w:rPr>
        <w:t>市场主体在企业信息、资质、法人代表、项目经理、业绩等重要信息发生变更时，应及时登陆其账户更改信息，提交系统验证，否则视为无效变更。</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第六条</w:t>
      </w:r>
      <w:r>
        <w:rPr>
          <w:rFonts w:hint="eastAsia" w:ascii="仿宋_GB2312" w:hAnsi="黑体" w:eastAsia="仿宋_GB2312"/>
          <w:color w:val="000000"/>
          <w:sz w:val="32"/>
          <w:szCs w:val="32"/>
        </w:rPr>
        <w:t xml:space="preserve">  为</w:t>
      </w:r>
      <w:r>
        <w:rPr>
          <w:rFonts w:ascii="仿宋_GB2312" w:hAnsi="黑体" w:eastAsia="仿宋_GB2312"/>
          <w:color w:val="000000"/>
          <w:sz w:val="32"/>
          <w:szCs w:val="32"/>
        </w:rPr>
        <w:t>保障</w:t>
      </w:r>
      <w:r>
        <w:rPr>
          <w:rFonts w:hint="eastAsia" w:ascii="仿宋_GB2312" w:hAnsi="黑体" w:eastAsia="仿宋_GB2312"/>
          <w:color w:val="000000"/>
          <w:sz w:val="32"/>
          <w:szCs w:val="32"/>
        </w:rPr>
        <w:t>招标人（自行招标）、招标代理机构（委托招标）、</w:t>
      </w:r>
      <w:r>
        <w:rPr>
          <w:rFonts w:ascii="仿宋_GB2312" w:hAnsi="黑体" w:eastAsia="仿宋_GB2312"/>
          <w:color w:val="000000"/>
          <w:sz w:val="32"/>
          <w:szCs w:val="32"/>
        </w:rPr>
        <w:t>投标人信息真实有效,维护</w:t>
      </w:r>
      <w:r>
        <w:rPr>
          <w:rFonts w:hint="eastAsia" w:ascii="仿宋_GB2312" w:hAnsi="黑体" w:eastAsia="仿宋_GB2312"/>
          <w:color w:val="000000"/>
          <w:sz w:val="32"/>
          <w:szCs w:val="32"/>
        </w:rPr>
        <w:t>市场主体</w:t>
      </w:r>
      <w:r>
        <w:rPr>
          <w:rFonts w:ascii="仿宋_GB2312" w:hAnsi="黑体" w:eastAsia="仿宋_GB2312"/>
          <w:color w:val="000000"/>
          <w:sz w:val="32"/>
          <w:szCs w:val="32"/>
        </w:rPr>
        <w:t>合法权益不受侵害，中心电子招投标系统将全部</w:t>
      </w:r>
      <w:r>
        <w:rPr>
          <w:rFonts w:hint="eastAsia" w:ascii="仿宋_GB2312" w:hAnsi="黑体" w:eastAsia="仿宋_GB2312"/>
          <w:color w:val="000000"/>
          <w:sz w:val="32"/>
          <w:szCs w:val="32"/>
        </w:rPr>
        <w:t>采</w:t>
      </w:r>
      <w:r>
        <w:rPr>
          <w:rFonts w:ascii="仿宋_GB2312" w:hAnsi="黑体" w:eastAsia="仿宋_GB2312"/>
          <w:color w:val="000000"/>
          <w:sz w:val="32"/>
          <w:szCs w:val="32"/>
        </w:rPr>
        <w:t>用CA数字证书和电子签章</w:t>
      </w:r>
      <w:r>
        <w:rPr>
          <w:rFonts w:hint="eastAsia" w:ascii="仿宋_GB2312" w:hAnsi="黑体" w:eastAsia="仿宋_GB2312"/>
          <w:color w:val="000000"/>
          <w:sz w:val="32"/>
          <w:szCs w:val="32"/>
        </w:rPr>
        <w:t>进行项目登记、招标条件备案、发布招标公告、</w:t>
      </w:r>
      <w:r>
        <w:rPr>
          <w:rFonts w:ascii="仿宋_GB2312" w:hAnsi="黑体" w:eastAsia="仿宋_GB2312"/>
          <w:color w:val="000000"/>
          <w:sz w:val="32"/>
          <w:szCs w:val="32"/>
        </w:rPr>
        <w:t>下载招标文件、制作投标文件</w:t>
      </w:r>
      <w:r>
        <w:rPr>
          <w:rFonts w:hint="eastAsia" w:ascii="仿宋_GB2312" w:hAnsi="黑体" w:eastAsia="仿宋_GB2312"/>
          <w:color w:val="000000"/>
          <w:sz w:val="32"/>
          <w:szCs w:val="32"/>
        </w:rPr>
        <w:t>、上传投标文件等，各方市场主体必须办理CA锁和单位（个人）电子签章。当事人在完成基本信息填写和上传相关资料后，可以到市民之家CA窗口现场制作CA和单位（个人）电子签章，也可以在录入信息阶段要求邮寄。</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第七条</w:t>
      </w:r>
      <w:r>
        <w:rPr>
          <w:rFonts w:hint="eastAsia" w:ascii="仿宋_GB2312" w:hAnsi="黑体" w:eastAsia="仿宋_GB2312"/>
          <w:color w:val="000000"/>
          <w:sz w:val="32"/>
          <w:szCs w:val="32"/>
        </w:rPr>
        <w:t xml:space="preserve">  帐户与CA绑定。当事人获得CA和单位（个人）电子签章后，应当将其账户与CA绑定。CA绑定成功后，下次登陆，插入CA输入密码登陆。</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第八条</w:t>
      </w:r>
      <w:r>
        <w:rPr>
          <w:rFonts w:hint="eastAsia" w:ascii="仿宋_GB2312" w:hAnsi="黑体" w:eastAsia="仿宋_GB2312"/>
          <w:color w:val="000000"/>
          <w:sz w:val="32"/>
          <w:szCs w:val="32"/>
        </w:rPr>
        <w:t xml:space="preserve">  进入中心交易的工程建设项目，由招标人（自行招标）或招标代理机构（委托招标）登陆电子交易系统项目注册菜单，填报录入项目信息、招标人信息、项目审批（核准、备案）信息、投资信息以及项目其他信息，办理项目登记手续。</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项目登记时，房建市政项目招标人或招标代理机构应当按照相关规定上传项目审批核准批文或备案证、有招标所需的设计图纸及技术资料、建设资金或资金来源落实情况、招标代理合同等证明文件。其他项目的招标人或招标代理机构应当上传招标代理合同、建设资金落实证明文件以及相关行业主管部门审核意见。</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 xml:space="preserve">第九条  </w:t>
      </w:r>
      <w:r>
        <w:rPr>
          <w:rFonts w:hint="eastAsia" w:ascii="仿宋_GB2312" w:hAnsi="黑体" w:eastAsia="仿宋_GB2312"/>
          <w:color w:val="000000"/>
          <w:sz w:val="32"/>
          <w:szCs w:val="32"/>
        </w:rPr>
        <w:t>中心负责项目登记的工作人员应在1个工作日内完成项目登记工作，重点核查上传的招标要件是否齐全、项目名称是否一致、资格预审（招标）文件是否经行业监管部门核审或备案、场地预约申请是否与现有场地安排冲突等。对符合要求的即时办理登记，对不符合要求的应当一次性告知当事人补充完善相关内容。</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第十条</w:t>
      </w:r>
      <w:r>
        <w:rPr>
          <w:rFonts w:hint="eastAsia" w:ascii="仿宋_GB2312" w:hAnsi="黑体" w:eastAsia="仿宋_GB2312"/>
          <w:color w:val="000000"/>
          <w:sz w:val="32"/>
          <w:szCs w:val="32"/>
        </w:rPr>
        <w:t xml:space="preserve">  中心完成项目登记后同步安排项目交易场地。</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招标人或招标代理机构提出场地变更的，需登陆电子交易系统，在场地变更菜单提出申请，中心核实有关情况后应在1个工作日办理。</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中心负责项目登记的工作人员，对招标人或招标代理机构场地变更情况进行全程见证。</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第十一条</w:t>
      </w:r>
      <w:r>
        <w:rPr>
          <w:rFonts w:hint="eastAsia" w:ascii="仿宋_GB2312" w:hAnsi="黑体" w:eastAsia="仿宋_GB2312"/>
          <w:color w:val="000000"/>
          <w:sz w:val="32"/>
          <w:szCs w:val="32"/>
        </w:rPr>
        <w:t xml:space="preserve">  招标人或招标代理机构提交资格预审文件或招标文件的,需登陆电子交易系统，填报录入招标文件信息、招标时间信息，并上传加盖电子签章的电子招标文件、工程量清单，提交相关行业主管部门审核或备案（如有）后发布资格预审公告或招标公告。</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招标人或招标代理机构对资格预审(招标)文件进行澄清、修改的,登陆电子交易系统，填报录入标段（包）信息、澄清与修改内容，加盖电子签章并上传澄清、修改文件，提交相关行业主管部门审核或备案（如有）后发布澄清、修改通知。</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中心负责项目登记的工作人员，对招标人或招标代理机构发布的资格预审公告或招标公告及澄清、修改进行全程见证。</w:t>
      </w:r>
    </w:p>
    <w:p>
      <w:pPr>
        <w:shd w:val="clear" w:color="auto" w:fill="FFFFFF"/>
        <w:adjustRightInd w:val="0"/>
        <w:snapToGrid w:val="0"/>
        <w:spacing w:line="560" w:lineRule="exact"/>
        <w:ind w:firstLine="594"/>
        <w:jc w:val="left"/>
        <w:rPr>
          <w:rFonts w:ascii="仿宋_GB2312" w:hAnsi="仿宋" w:eastAsia="仿宋_GB2312" w:cs="宋体"/>
          <w:color w:val="000000"/>
          <w:kern w:val="0"/>
          <w:sz w:val="32"/>
          <w:szCs w:val="32"/>
        </w:rPr>
      </w:pPr>
    </w:p>
    <w:p>
      <w:pPr>
        <w:shd w:val="clear" w:color="auto" w:fill="FFFFFF"/>
        <w:adjustRightInd w:val="0"/>
        <w:snapToGrid w:val="0"/>
        <w:spacing w:line="560" w:lineRule="exact"/>
        <w:jc w:val="center"/>
        <w:rPr>
          <w:rFonts w:ascii="黑体" w:hAnsi="黑体" w:eastAsia="黑体"/>
          <w:bCs/>
          <w:color w:val="000000"/>
          <w:sz w:val="32"/>
          <w:szCs w:val="32"/>
        </w:rPr>
      </w:pPr>
      <w:r>
        <w:rPr>
          <w:rFonts w:hint="eastAsia" w:ascii="黑体" w:hAnsi="黑体" w:eastAsia="黑体"/>
          <w:bCs/>
          <w:color w:val="000000"/>
          <w:sz w:val="32"/>
          <w:szCs w:val="32"/>
        </w:rPr>
        <w:t>第三章  投标</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 xml:space="preserve">第十二条 </w:t>
      </w:r>
      <w:r>
        <w:rPr>
          <w:rFonts w:hint="eastAsia" w:ascii="仿宋_GB2312" w:hAnsi="黑体" w:eastAsia="仿宋_GB2312"/>
          <w:color w:val="000000"/>
          <w:sz w:val="32"/>
          <w:szCs w:val="32"/>
        </w:rPr>
        <w:t xml:space="preserve"> 潜在投标人信息应当保密。潜在投标人通过CA登录电子交易系统，下载资格预审（招标）文件。</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潜在投标人对资格预审（招标）文件有疑问的，应当在资格预审（招标）文件规定时间内,登录电子交易系统向招标人或招标代理机构提出。</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潜在投标人或其他利害关系人对已发布的资格预审（招标）文件有异议的，可在法律法规规定的期限内，向招标人或招标代理机构提出异议，招标人或招标代理机构应当在规定时间内作出答复。异议答复前，招标人或招标代理机构应当暂停招标投标活动。</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第十三条</w:t>
      </w:r>
      <w:r>
        <w:rPr>
          <w:rFonts w:hint="eastAsia" w:ascii="仿宋_GB2312" w:hAnsi="黑体" w:eastAsia="仿宋_GB2312"/>
          <w:color w:val="000000"/>
          <w:sz w:val="32"/>
          <w:szCs w:val="32"/>
        </w:rPr>
        <w:t xml:space="preserve">  潜在投标人通过CA登录电子交易系统，采用专用投标文件制作工具，编制完成加密和不加密（U备份）电子资格预审申请文件或投标文件。不加密文件（U备份）为加密文件无法启用时的备用。</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第十四条</w:t>
      </w:r>
      <w:r>
        <w:rPr>
          <w:rFonts w:hint="eastAsia" w:ascii="仿宋_GB2312" w:hAnsi="黑体" w:eastAsia="仿宋_GB2312"/>
          <w:color w:val="000000"/>
          <w:sz w:val="32"/>
          <w:szCs w:val="32"/>
        </w:rPr>
        <w:t xml:space="preserve">  招标人要求投标人提交投标保证金的，投标保证金应从投标人的基本账户电汇到中心投标保证金专用账户，不接受投标人以分公司、办事处或其它机构的名义提交。</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为遏制围标串标，投标保证金缴纳采取18位基本账户+系统随机生成7位虚拟账号方式。该投标保证金收款账户为每个标段每家投标企业获取的唯一账户。</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第十五条</w:t>
      </w:r>
      <w:r>
        <w:rPr>
          <w:rFonts w:hint="eastAsia" w:ascii="仿宋_GB2312" w:hAnsi="黑体" w:eastAsia="仿宋_GB2312"/>
          <w:color w:val="000000"/>
          <w:sz w:val="32"/>
          <w:szCs w:val="32"/>
        </w:rPr>
        <w:t xml:space="preserve">  投标保证金有下列情形之一，招标人应在招标文件上明确，按照无效投标处理：</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（一）投标保证金没有按该项目招标文件规定的截止时间前缴纳；</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（二）投标保证金没有缴纳到投标人在系统获取的18位基本账户+随机生成的7位虚拟账户；</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（三）仅缴纳到18位基本账户，没进入系统随机生成的7位虚拟账户；</w:t>
      </w:r>
    </w:p>
    <w:p>
      <w:pPr>
        <w:pStyle w:val="23"/>
        <w:spacing w:line="600" w:lineRule="exact"/>
        <w:ind w:firstLine="720" w:firstLineChars="225"/>
        <w:rPr>
          <w:rFonts w:ascii="仿宋_GB2312" w:hAnsi="黑体" w:eastAsia="仿宋_GB2312"/>
          <w:color w:val="000000"/>
          <w:sz w:val="32"/>
          <w:szCs w:val="32"/>
        </w:rPr>
      </w:pPr>
      <w:r>
        <w:rPr>
          <w:rFonts w:hint="eastAsia" w:ascii="仿宋_GB2312" w:hAnsi="黑体" w:eastAsia="仿宋_GB2312"/>
          <w:color w:val="000000"/>
          <w:sz w:val="32"/>
          <w:szCs w:val="32"/>
        </w:rPr>
        <w:t>（四）缴纳的投标保证金少于该项目招标文件中规定的金额。</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第十六条</w:t>
      </w:r>
      <w:r>
        <w:rPr>
          <w:rFonts w:hint="eastAsia" w:ascii="仿宋_GB2312" w:hAnsi="黑体" w:eastAsia="仿宋_GB2312"/>
          <w:color w:val="000000"/>
          <w:sz w:val="32"/>
          <w:szCs w:val="32"/>
        </w:rPr>
        <w:t xml:space="preserve">  18位基本账户+系统随机生成7位虚拟账户内缴纳了2家以上（含2家）投标人投标保证金的，招标人会同中心见证人员应报相关行政监管部门依法依规处理。</w:t>
      </w:r>
    </w:p>
    <w:p>
      <w:pPr>
        <w:pStyle w:val="23"/>
        <w:spacing w:line="600" w:lineRule="exact"/>
        <w:ind w:firstLine="723" w:firstLineChars="225"/>
        <w:rPr>
          <w:rFonts w:ascii="仿宋_GB2312" w:hAnsi="黑体" w:eastAsia="仿宋_GB2312"/>
          <w:color w:val="000000"/>
          <w:sz w:val="32"/>
          <w:szCs w:val="32"/>
        </w:rPr>
      </w:pPr>
      <w:r>
        <w:rPr>
          <w:rFonts w:hint="eastAsia" w:ascii="仿宋_GB2312" w:hAnsi="黑体" w:eastAsia="仿宋_GB2312"/>
          <w:b/>
          <w:color w:val="000000"/>
          <w:sz w:val="32"/>
          <w:szCs w:val="32"/>
        </w:rPr>
        <w:t>第十七条</w:t>
      </w:r>
      <w:r>
        <w:rPr>
          <w:rFonts w:hint="eastAsia" w:ascii="仿宋_GB2312" w:hAnsi="黑体" w:eastAsia="仿宋_GB2312"/>
          <w:color w:val="000000"/>
          <w:sz w:val="32"/>
          <w:szCs w:val="32"/>
        </w:rPr>
        <w:t xml:space="preserve">  支持和鼓励招标人用投标电子保函替代传统的现金保证金缴纳方式。</w:t>
      </w:r>
    </w:p>
    <w:p>
      <w:pPr>
        <w:shd w:val="clear" w:color="auto" w:fill="FFFFFF"/>
        <w:adjustRightInd w:val="0"/>
        <w:snapToGrid w:val="0"/>
        <w:spacing w:line="560" w:lineRule="exact"/>
        <w:jc w:val="center"/>
        <w:rPr>
          <w:rFonts w:ascii="黑体" w:hAnsi="黑体" w:eastAsia="黑体"/>
          <w:bCs/>
          <w:color w:val="000000"/>
          <w:sz w:val="32"/>
          <w:szCs w:val="32"/>
        </w:rPr>
      </w:pPr>
    </w:p>
    <w:p>
      <w:pPr>
        <w:shd w:val="clear" w:color="auto" w:fill="FFFFFF"/>
        <w:adjustRightInd w:val="0"/>
        <w:snapToGrid w:val="0"/>
        <w:spacing w:line="560" w:lineRule="exact"/>
        <w:jc w:val="center"/>
        <w:rPr>
          <w:rFonts w:ascii="黑体" w:hAnsi="黑体" w:eastAsia="黑体"/>
          <w:bCs/>
          <w:color w:val="000000"/>
          <w:sz w:val="32"/>
          <w:szCs w:val="32"/>
        </w:rPr>
      </w:pPr>
      <w:r>
        <w:rPr>
          <w:rFonts w:hint="eastAsia" w:ascii="黑体" w:hAnsi="黑体" w:eastAsia="黑体"/>
          <w:bCs/>
          <w:color w:val="000000"/>
          <w:sz w:val="32"/>
          <w:szCs w:val="32"/>
        </w:rPr>
        <w:t>第四章   开标、评标和中标</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第十八条</w:t>
      </w:r>
      <w:r>
        <w:rPr>
          <w:rFonts w:hint="eastAsia" w:ascii="仿宋_GB2312" w:hAnsi="仿宋" w:eastAsia="仿宋_GB2312"/>
          <w:color w:val="000000"/>
          <w:sz w:val="32"/>
          <w:szCs w:val="32"/>
        </w:rPr>
        <w:t xml:space="preserve">  招标人或招标代理机构在招标文件确定的时间和地点组织开标。开标应当按照招标文件规定的程序进行。</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 xml:space="preserve">第十九条  </w:t>
      </w:r>
      <w:r>
        <w:rPr>
          <w:rFonts w:hint="eastAsia" w:ascii="仿宋_GB2312" w:hAnsi="仿宋" w:eastAsia="仿宋_GB2312"/>
          <w:color w:val="000000"/>
          <w:sz w:val="32"/>
          <w:szCs w:val="32"/>
        </w:rPr>
        <w:t>中心负责开标、评标全过程的见证、场所、信息、档案、专家抽取和交易流程等服务，</w:t>
      </w:r>
      <w:r>
        <w:rPr>
          <w:rFonts w:hint="eastAsia" w:ascii="仿宋_GB2312" w:hAnsi="黑体" w:eastAsia="仿宋_GB2312"/>
          <w:color w:val="000000"/>
          <w:sz w:val="32"/>
          <w:szCs w:val="32"/>
        </w:rPr>
        <w:t>对依法予以保密的信息保密</w:t>
      </w:r>
      <w:r>
        <w:rPr>
          <w:rFonts w:hint="eastAsia" w:ascii="仿宋_GB2312" w:hAnsi="仿宋" w:eastAsia="仿宋_GB2312"/>
          <w:color w:val="000000"/>
          <w:sz w:val="32"/>
          <w:szCs w:val="32"/>
        </w:rPr>
        <w:t>。包括但不限于以下工作：</w:t>
      </w:r>
    </w:p>
    <w:p>
      <w:pPr>
        <w:adjustRightInd w:val="0"/>
        <w:snapToGrid w:val="0"/>
        <w:spacing w:line="560" w:lineRule="exact"/>
        <w:ind w:firstLine="640" w:firstLineChars="200"/>
        <w:rPr>
          <w:rFonts w:ascii="楷体_GB2312" w:hAnsi="仿宋" w:eastAsia="楷体_GB2312"/>
          <w:color w:val="000000"/>
          <w:sz w:val="32"/>
          <w:szCs w:val="32"/>
        </w:rPr>
      </w:pPr>
      <w:r>
        <w:rPr>
          <w:rFonts w:hint="eastAsia" w:ascii="楷体_GB2312" w:hAnsi="仿宋" w:eastAsia="楷体_GB2312"/>
          <w:color w:val="000000"/>
          <w:sz w:val="32"/>
          <w:szCs w:val="32"/>
        </w:rPr>
        <w:t>（一）开标前</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招标人或代理机构，应在开标前15分钟进入相应的“不见面”开标室，并按程序在“不见面”开标系统做好音视频相关功能的调试，提示投标人签到。其中，线下项目记录投标人的投标（资格预审申请）文件是否按照招标文件规定的时间送达，引导投标（资格预审申请）文件按规定摆放，维持开标现场秩序。</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心相关工作人员，根据电子服务系统当天场地安排，将交易场地安排情况分别递送至各等候区的大屏和各开标室、评标室、谈判（询价）电子门牌；检查开标室相关设备及系统运行情况，配合招标人或代理机构做好开标资料准备及开标会议场所布置。见证招标人或代理机构是否按要求做好开标前准备工作，接收投标文件等相关事宜。</w:t>
      </w:r>
    </w:p>
    <w:p>
      <w:pPr>
        <w:pStyle w:val="23"/>
        <w:spacing w:line="600" w:lineRule="exact"/>
        <w:ind w:firstLine="720" w:firstLineChars="225"/>
        <w:rPr>
          <w:rFonts w:ascii="楷体_GB2312" w:hAnsi="仿宋" w:eastAsia="楷体_GB2312" w:cs="Times New Roman"/>
          <w:color w:val="000000"/>
          <w:sz w:val="32"/>
          <w:szCs w:val="32"/>
        </w:rPr>
      </w:pPr>
      <w:r>
        <w:rPr>
          <w:rFonts w:hint="eastAsia" w:ascii="楷体_GB2312" w:hAnsi="仿宋" w:eastAsia="楷体_GB2312" w:cs="Times New Roman"/>
          <w:color w:val="000000"/>
          <w:sz w:val="32"/>
          <w:szCs w:val="32"/>
        </w:rPr>
        <w:t>（二）开标中</w:t>
      </w:r>
    </w:p>
    <w:p>
      <w:pPr>
        <w:pStyle w:val="23"/>
        <w:spacing w:line="600" w:lineRule="exact"/>
        <w:ind w:firstLine="720" w:firstLineChars="225"/>
        <w:rPr>
          <w:rFonts w:ascii="仿宋_GB2312" w:hAnsi="仿宋" w:eastAsia="仿宋_GB2312" w:cs="Times New Roman"/>
          <w:color w:val="000000"/>
          <w:sz w:val="32"/>
          <w:szCs w:val="32"/>
        </w:rPr>
      </w:pPr>
      <w:r>
        <w:rPr>
          <w:rFonts w:hint="eastAsia" w:ascii="仿宋_GB2312" w:hAnsi="仿宋" w:eastAsia="仿宋_GB2312" w:cs="Times New Roman"/>
          <w:color w:val="000000"/>
          <w:sz w:val="32"/>
          <w:szCs w:val="32"/>
        </w:rPr>
        <w:t>招标人或代理机构在该项目规定的开标时间后按以下程序开标：自我介绍并宣布开标会开始→宣布开标纪律→公布投标截止时间递交投标文件的投标人签到及投标保证金到账情况→现场验证投标人代表资格（线下项目）→查验投标（资格预审申请）文件密封情况及投标人签字确认（线下项目）→现场公布标底（招标控制价）价格（如有）→投标人自行线上解密投标文件（线下项目则按顺序投标人分别上前解密投标文件）→公布投标人投标报价、质量标准、完成工期→按招标文件要求现场抽取投标竞争下浮率（如有）→给所有投标人5分钟提异议时间→各投标人签字确认后并宣布开标会结束。</w:t>
      </w:r>
      <w:r>
        <w:rPr>
          <w:rFonts w:hint="eastAsia" w:ascii="仿宋_GB2312" w:hAnsi="仿宋" w:eastAsia="仿宋_GB2312"/>
          <w:color w:val="000000"/>
          <w:sz w:val="32"/>
          <w:szCs w:val="32"/>
        </w:rPr>
        <w:t>投标人对开标有异议的，应当在开标现场提出。招标人或招标代理机构当场对异议作出答复，并在系统内录入。</w:t>
      </w:r>
      <w:r>
        <w:rPr>
          <w:rFonts w:hint="eastAsia" w:ascii="仿宋_GB2312" w:hAnsi="仿宋" w:eastAsia="仿宋_GB2312" w:cs="Times New Roman"/>
          <w:color w:val="000000"/>
          <w:sz w:val="32"/>
          <w:szCs w:val="32"/>
        </w:rPr>
        <w:t xml:space="preserve"> </w:t>
      </w:r>
    </w:p>
    <w:p>
      <w:pPr>
        <w:pStyle w:val="23"/>
        <w:spacing w:line="600" w:lineRule="exact"/>
        <w:ind w:firstLine="720" w:firstLineChars="225"/>
        <w:rPr>
          <w:rFonts w:ascii="仿宋_GB2312" w:hAnsi="仿宋" w:eastAsia="仿宋_GB2312" w:cs="Times New Roman"/>
          <w:color w:val="000000"/>
          <w:sz w:val="32"/>
          <w:szCs w:val="32"/>
        </w:rPr>
      </w:pPr>
      <w:r>
        <w:rPr>
          <w:rFonts w:hint="eastAsia" w:ascii="仿宋_GB2312" w:hAnsi="仿宋" w:eastAsia="仿宋_GB2312" w:cs="Times New Roman"/>
          <w:color w:val="000000"/>
          <w:sz w:val="32"/>
          <w:szCs w:val="32"/>
        </w:rPr>
        <w:t>中心见证服务人员全程见证整个开标环节，如实记录参与开标活动的各方行为，对开标过程中发现的问题及产生的争议、异议及时报告相关行业主管部门处置。</w:t>
      </w:r>
    </w:p>
    <w:p>
      <w:pPr>
        <w:pStyle w:val="23"/>
        <w:spacing w:line="600" w:lineRule="exact"/>
        <w:ind w:firstLine="720" w:firstLineChars="225"/>
        <w:rPr>
          <w:rFonts w:ascii="楷体_GB2312" w:hAnsi="仿宋" w:eastAsia="楷体_GB2312" w:cs="Times New Roman"/>
          <w:color w:val="000000"/>
          <w:sz w:val="32"/>
          <w:szCs w:val="32"/>
        </w:rPr>
      </w:pPr>
      <w:r>
        <w:rPr>
          <w:rFonts w:hint="eastAsia" w:ascii="楷体_GB2312" w:hAnsi="仿宋" w:eastAsia="楷体_GB2312" w:cs="Times New Roman"/>
          <w:color w:val="000000"/>
          <w:sz w:val="32"/>
          <w:szCs w:val="32"/>
        </w:rPr>
        <w:t>（三）开标后</w:t>
      </w:r>
    </w:p>
    <w:p>
      <w:pPr>
        <w:pStyle w:val="23"/>
        <w:spacing w:line="600" w:lineRule="exact"/>
        <w:ind w:firstLine="720" w:firstLineChars="225"/>
        <w:rPr>
          <w:rFonts w:ascii="仿宋_GB2312" w:hAnsi="仿宋" w:eastAsia="仿宋_GB2312" w:cs="Times New Roman"/>
          <w:color w:val="000000"/>
          <w:sz w:val="32"/>
          <w:szCs w:val="32"/>
        </w:rPr>
      </w:pPr>
      <w:r>
        <w:rPr>
          <w:rFonts w:hint="eastAsia" w:ascii="仿宋_GB2312" w:hAnsi="仿宋" w:eastAsia="仿宋_GB2312" w:cs="Times New Roman"/>
          <w:color w:val="000000"/>
          <w:sz w:val="32"/>
          <w:szCs w:val="32"/>
        </w:rPr>
        <w:t>招标人或代理机构将各投标人自行解密的投标（资格预审申请）文件上传至电子评标系统，组建评标（资格审查）委员会。线下项目，负责将投标（资格预审申请）文件通过密封箱密封运送至评标室。</w:t>
      </w:r>
    </w:p>
    <w:p>
      <w:pPr>
        <w:pStyle w:val="23"/>
        <w:spacing w:line="600" w:lineRule="exact"/>
        <w:ind w:firstLine="720" w:firstLineChars="225"/>
        <w:rPr>
          <w:rFonts w:ascii="仿宋_GB2312" w:hAnsi="仿宋" w:eastAsia="仿宋_GB2312" w:cs="Times New Roman"/>
          <w:color w:val="000000"/>
          <w:sz w:val="32"/>
          <w:szCs w:val="32"/>
        </w:rPr>
      </w:pPr>
      <w:r>
        <w:rPr>
          <w:rFonts w:hint="eastAsia" w:ascii="仿宋_GB2312" w:hAnsi="仿宋" w:eastAsia="仿宋_GB2312" w:cs="Times New Roman"/>
          <w:color w:val="000000"/>
          <w:sz w:val="32"/>
          <w:szCs w:val="32"/>
        </w:rPr>
        <w:t>中心工作人员见证投标（资格预审申请）文件上传或运送过程、评标（资格审查）委员会组建过程。同时，根据授权，负责评标专家“一标一评”工作。</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 xml:space="preserve">第二十条 </w:t>
      </w:r>
      <w:r>
        <w:rPr>
          <w:rFonts w:hint="eastAsia" w:ascii="仿宋_GB2312" w:hAnsi="仿宋" w:eastAsia="仿宋_GB2312"/>
          <w:color w:val="000000"/>
          <w:sz w:val="32"/>
          <w:szCs w:val="32"/>
        </w:rPr>
        <w:t xml:space="preserve"> 有下列情形之一的，招标人应当依法重新招标：</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（一）资格预审合格的潜在投标人不足3家的；</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（二）在投标截止时间前提交投标文件的投标人少于3家的；</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（三）所有投标均被否决的；</w:t>
      </w:r>
    </w:p>
    <w:p>
      <w:pPr>
        <w:pStyle w:val="6"/>
        <w:widowControl w:val="0"/>
        <w:shd w:val="clear" w:color="auto" w:fill="FFFFFF"/>
        <w:adjustRightInd w:val="0"/>
        <w:snapToGrid w:val="0"/>
        <w:spacing w:line="560" w:lineRule="exact"/>
        <w:rPr>
          <w:rFonts w:ascii="仿宋_GB2312" w:hAnsi="仿宋" w:eastAsia="仿宋_GB2312" w:cs="Times New Roman"/>
          <w:color w:val="000000"/>
          <w:kern w:val="2"/>
          <w:sz w:val="32"/>
          <w:szCs w:val="32"/>
        </w:rPr>
      </w:pPr>
      <w:r>
        <w:rPr>
          <w:rFonts w:hint="eastAsia" w:ascii="仿宋_GB2312" w:hAnsi="仿宋" w:eastAsia="仿宋_GB2312" w:cs="Times New Roman"/>
          <w:color w:val="000000"/>
          <w:kern w:val="2"/>
          <w:sz w:val="32"/>
          <w:szCs w:val="32"/>
        </w:rPr>
        <w:t xml:space="preserve">    （四）法律、法规、规定的其他情形。</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招标人或招标代理机构登陆电子交易系统，并上传相关证明材料，经中心确认后，招标人或招标代理机构可以发布二次招标公告，重新招标。</w:t>
      </w:r>
    </w:p>
    <w:p>
      <w:pPr>
        <w:adjustRightInd w:val="0"/>
        <w:snapToGrid w:val="0"/>
        <w:spacing w:line="560" w:lineRule="exact"/>
        <w:ind w:firstLine="645"/>
        <w:rPr>
          <w:rFonts w:ascii="仿宋_GB2312" w:hAnsi="仿宋" w:eastAsia="仿宋_GB2312"/>
          <w:b/>
          <w:color w:val="000000"/>
          <w:sz w:val="32"/>
          <w:szCs w:val="32"/>
        </w:rPr>
      </w:pPr>
      <w:r>
        <w:rPr>
          <w:rFonts w:hint="eastAsia" w:ascii="仿宋_GB2312" w:hAnsi="仿宋" w:eastAsia="仿宋_GB2312"/>
          <w:b/>
          <w:color w:val="000000"/>
          <w:sz w:val="32"/>
          <w:szCs w:val="32"/>
        </w:rPr>
        <w:t>第二十一条</w:t>
      </w:r>
      <w:r>
        <w:rPr>
          <w:rFonts w:hint="eastAsia" w:ascii="仿宋_GB2312" w:hAnsi="仿宋" w:eastAsia="仿宋_GB2312"/>
          <w:color w:val="000000"/>
          <w:sz w:val="32"/>
          <w:szCs w:val="32"/>
        </w:rPr>
        <w:t xml:space="preserve">  招标人或招标代理机构登陆黄石市专家抽取语音通知系统，录入项目信息、专家回避信息、评标专家专业设置信息，在系统中随机抽取评标专家。</w:t>
      </w:r>
    </w:p>
    <w:p>
      <w:pPr>
        <w:adjustRightInd w:val="0"/>
        <w:snapToGrid w:val="0"/>
        <w:spacing w:line="560" w:lineRule="exact"/>
        <w:ind w:firstLine="645"/>
        <w:rPr>
          <w:rFonts w:ascii="仿宋_GB2312" w:hAnsi="仿宋" w:eastAsia="仿宋_GB2312"/>
          <w:color w:val="000000"/>
          <w:sz w:val="32"/>
          <w:szCs w:val="32"/>
        </w:rPr>
      </w:pPr>
      <w:r>
        <w:rPr>
          <w:rFonts w:hint="eastAsia" w:ascii="仿宋_GB2312" w:hAnsi="仿宋" w:eastAsia="仿宋_GB2312"/>
          <w:color w:val="000000"/>
          <w:sz w:val="32"/>
          <w:szCs w:val="32"/>
        </w:rPr>
        <w:t>评标（资格审查）专家抽取一般应在开标时同步进行。其中，需抽取省专家的，提前24小时申请；需要远程异地评标的，提前72小时申请。</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第二十二条</w:t>
      </w:r>
      <w:r>
        <w:rPr>
          <w:rFonts w:hint="eastAsia" w:ascii="仿宋_GB2312" w:hAnsi="仿宋" w:eastAsia="仿宋_GB2312"/>
          <w:color w:val="000000"/>
          <w:sz w:val="32"/>
          <w:szCs w:val="32"/>
        </w:rPr>
        <w:t xml:space="preserve">  评标（资格审查）应当按照下列程序进行：</w:t>
      </w:r>
    </w:p>
    <w:p>
      <w:pPr>
        <w:tabs>
          <w:tab w:val="right" w:pos="8730"/>
        </w:tabs>
        <w:adjustRightInd w:val="0"/>
        <w:snapToGrid w:val="0"/>
        <w:spacing w:line="560" w:lineRule="exact"/>
        <w:ind w:firstLine="630"/>
        <w:rPr>
          <w:rFonts w:ascii="楷体_GB2312" w:hAnsi="仿宋" w:eastAsia="楷体_GB2312"/>
          <w:color w:val="000000"/>
          <w:sz w:val="32"/>
          <w:szCs w:val="32"/>
        </w:rPr>
      </w:pPr>
      <w:r>
        <w:rPr>
          <w:rFonts w:hint="eastAsia" w:ascii="楷体_GB2312" w:hAnsi="仿宋" w:eastAsia="楷体_GB2312"/>
          <w:color w:val="000000"/>
          <w:sz w:val="32"/>
          <w:szCs w:val="32"/>
        </w:rPr>
        <w:t>（一）采取综合评分法的</w:t>
      </w:r>
    </w:p>
    <w:p>
      <w:pPr>
        <w:tabs>
          <w:tab w:val="right" w:pos="8730"/>
        </w:tabs>
        <w:adjustRightInd w:val="0"/>
        <w:snapToGrid w:val="0"/>
        <w:spacing w:line="560" w:lineRule="exact"/>
        <w:ind w:firstLine="630"/>
        <w:rPr>
          <w:rFonts w:ascii="仿宋_GB2312" w:hAnsi="仿宋" w:eastAsia="仿宋_GB2312"/>
          <w:color w:val="000000"/>
          <w:sz w:val="32"/>
          <w:szCs w:val="32"/>
        </w:rPr>
      </w:pPr>
      <w:r>
        <w:rPr>
          <w:rFonts w:hint="eastAsia" w:ascii="仿宋_GB2312" w:hAnsi="仿宋" w:eastAsia="仿宋_GB2312"/>
          <w:color w:val="000000"/>
          <w:sz w:val="32"/>
          <w:szCs w:val="32"/>
        </w:rPr>
        <w:t>1.评标（资格审查）前,电子交易系统将评标（资格审查）专家名单和投标保证金到账情况（如有）适时推送至代理机构在系统内的账户。招标人或代理机构在评标现场通过CA登陆电子交易系统该项目界面获取相关信息，现场核对评标（资格审查）专家身份，并向评标（资格审查）专家告之该项目投标保证金到账情况（如有）。</w:t>
      </w:r>
    </w:p>
    <w:p>
      <w:pPr>
        <w:tabs>
          <w:tab w:val="right" w:pos="8730"/>
        </w:tabs>
        <w:adjustRightInd w:val="0"/>
        <w:snapToGrid w:val="0"/>
        <w:spacing w:line="560" w:lineRule="exact"/>
        <w:rPr>
          <w:rFonts w:ascii="仿宋_GB2312" w:hAnsi="仿宋" w:eastAsia="仿宋_GB2312"/>
          <w:color w:val="000000"/>
          <w:sz w:val="32"/>
          <w:szCs w:val="32"/>
        </w:rPr>
      </w:pPr>
      <w:r>
        <w:rPr>
          <w:rFonts w:hint="eastAsia" w:ascii="仿宋_GB2312" w:hAnsi="仿宋" w:eastAsia="仿宋_GB2312"/>
          <w:color w:val="000000"/>
          <w:sz w:val="32"/>
          <w:szCs w:val="32"/>
        </w:rPr>
        <w:t xml:space="preserve">    2.招标人或代理机构介绍完评标项目情况后，应告之评标（资格审查）委员会成员需要回避的,应该回避。</w:t>
      </w:r>
    </w:p>
    <w:p>
      <w:pPr>
        <w:adjustRightInd w:val="0"/>
        <w:snapToGrid w:val="0"/>
        <w:spacing w:line="560" w:lineRule="exact"/>
        <w:rPr>
          <w:rFonts w:ascii="仿宋_GB2312" w:hAnsi="仿宋" w:eastAsia="仿宋_GB2312"/>
          <w:color w:val="000000"/>
          <w:sz w:val="32"/>
          <w:szCs w:val="32"/>
        </w:rPr>
      </w:pPr>
      <w:r>
        <w:rPr>
          <w:rFonts w:hint="eastAsia" w:ascii="仿宋_GB2312" w:hAnsi="仿宋" w:eastAsia="仿宋_GB2312"/>
          <w:color w:val="000000"/>
          <w:sz w:val="32"/>
          <w:szCs w:val="32"/>
        </w:rPr>
        <w:t xml:space="preserve">    3.招标人或代理机构宣布评标纪律。</w:t>
      </w:r>
    </w:p>
    <w:p>
      <w:pPr>
        <w:adjustRightInd w:val="0"/>
        <w:snapToGrid w:val="0"/>
        <w:spacing w:line="560" w:lineRule="exact"/>
        <w:rPr>
          <w:rFonts w:ascii="仿宋_GB2312" w:hAnsi="仿宋" w:eastAsia="仿宋_GB2312"/>
          <w:color w:val="000000"/>
          <w:sz w:val="32"/>
          <w:szCs w:val="32"/>
        </w:rPr>
      </w:pPr>
      <w:r>
        <w:rPr>
          <w:rFonts w:hint="eastAsia" w:ascii="仿宋_GB2312" w:hAnsi="仿宋" w:eastAsia="仿宋_GB2312"/>
          <w:color w:val="000000"/>
          <w:sz w:val="32"/>
          <w:szCs w:val="32"/>
        </w:rPr>
        <w:t xml:space="preserve">    4.由评标（资格审查）委员会成员推选一名评标（资格审查）委员会组长，或由招标人直接指定评标（资格审查）委员会组长。</w:t>
      </w:r>
    </w:p>
    <w:p>
      <w:pPr>
        <w:adjustRightInd w:val="0"/>
        <w:snapToGrid w:val="0"/>
        <w:spacing w:line="560" w:lineRule="exact"/>
        <w:ind w:firstLine="630"/>
        <w:rPr>
          <w:rFonts w:ascii="仿宋_GB2312" w:hAnsi="仿宋" w:eastAsia="仿宋_GB2312"/>
          <w:color w:val="000000"/>
          <w:sz w:val="32"/>
          <w:szCs w:val="32"/>
        </w:rPr>
      </w:pPr>
      <w:r>
        <w:rPr>
          <w:rFonts w:hint="eastAsia" w:ascii="仿宋_GB2312" w:hAnsi="仿宋" w:eastAsia="仿宋_GB2312"/>
          <w:color w:val="000000"/>
          <w:sz w:val="32"/>
          <w:szCs w:val="32"/>
        </w:rPr>
        <w:t>5.评标（资格审查）委员会成员通过账号进入电子评标（评审）系统。</w:t>
      </w:r>
    </w:p>
    <w:p>
      <w:pPr>
        <w:adjustRightInd w:val="0"/>
        <w:snapToGrid w:val="0"/>
        <w:spacing w:line="560" w:lineRule="exact"/>
        <w:ind w:firstLine="630"/>
        <w:rPr>
          <w:rFonts w:ascii="仿宋_GB2312" w:hAnsi="仿宋" w:eastAsia="仿宋_GB2312"/>
          <w:color w:val="000000"/>
          <w:sz w:val="32"/>
          <w:szCs w:val="32"/>
        </w:rPr>
      </w:pPr>
      <w:r>
        <w:rPr>
          <w:rFonts w:hint="eastAsia" w:ascii="仿宋_GB2312" w:hAnsi="仿宋" w:eastAsia="仿宋_GB2312"/>
          <w:color w:val="000000"/>
          <w:sz w:val="32"/>
          <w:szCs w:val="32"/>
        </w:rPr>
        <w:t>6.评标（资格审查）委员会按招标（资格预审）文件规定的评标(评审)标准和方法进行评标(评审)。</w:t>
      </w:r>
    </w:p>
    <w:p>
      <w:pPr>
        <w:adjustRightInd w:val="0"/>
        <w:snapToGrid w:val="0"/>
        <w:spacing w:line="560" w:lineRule="exact"/>
        <w:ind w:firstLine="630"/>
        <w:rPr>
          <w:rFonts w:ascii="仿宋_GB2312" w:hAnsi="仿宋" w:eastAsia="仿宋_GB2312"/>
          <w:color w:val="000000"/>
          <w:sz w:val="32"/>
          <w:szCs w:val="32"/>
        </w:rPr>
      </w:pPr>
      <w:r>
        <w:rPr>
          <w:rFonts w:hint="eastAsia" w:ascii="仿宋_GB2312" w:hAnsi="仿宋" w:eastAsia="仿宋_GB2312"/>
          <w:color w:val="000000"/>
          <w:sz w:val="32"/>
          <w:szCs w:val="32"/>
        </w:rPr>
        <w:t>7.出具评标（资格预审）报告。</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8.评标（资格审查）结束。</w:t>
      </w:r>
    </w:p>
    <w:p>
      <w:pPr>
        <w:adjustRightInd w:val="0"/>
        <w:snapToGrid w:val="0"/>
        <w:spacing w:line="560" w:lineRule="exact"/>
        <w:ind w:firstLine="640" w:firstLineChars="200"/>
        <w:rPr>
          <w:rFonts w:ascii="楷体_GB2312" w:hAnsi="仿宋" w:eastAsia="楷体_GB2312"/>
          <w:color w:val="000000"/>
          <w:sz w:val="32"/>
          <w:szCs w:val="32"/>
        </w:rPr>
      </w:pPr>
      <w:r>
        <w:rPr>
          <w:rFonts w:hint="eastAsia" w:ascii="楷体_GB2312" w:hAnsi="仿宋" w:eastAsia="楷体_GB2312"/>
          <w:color w:val="000000"/>
          <w:sz w:val="32"/>
          <w:szCs w:val="32"/>
        </w:rPr>
        <w:t>（二）采取评定分离的</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1.评标。程序同上，评审内容以该项目招标文件规定的标准和方法进行。</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考察（如有）。在评标推荐出定标候选人后，招标人可以选择以下两种方式对定标候选人进行考察。一是根据该项目招标文件规定的时间，招标人对定标候选人的业绩、财务能力、信用等进行考察或调研。二是对定标候选人的投标文件进行清标。</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3.定标。定标委员会成员编辑完成会议记录后，对定标候选人的各项指标提出意见或者投票，汇总各成员的意见或投票情况，确定中标人，形成定标报告。定标委员会成员的定标过程全程接受监督人员监督。</w:t>
      </w:r>
    </w:p>
    <w:p>
      <w:pPr>
        <w:adjustRightInd w:val="0"/>
        <w:snapToGrid w:val="0"/>
        <w:spacing w:line="560" w:lineRule="exact"/>
        <w:ind w:firstLine="640" w:firstLineChars="200"/>
        <w:rPr>
          <w:rFonts w:ascii="楷体_GB2312" w:hAnsi="仿宋" w:eastAsia="楷体_GB2312"/>
          <w:color w:val="000000"/>
          <w:sz w:val="32"/>
          <w:szCs w:val="32"/>
        </w:rPr>
      </w:pPr>
      <w:r>
        <w:rPr>
          <w:rFonts w:hint="eastAsia" w:ascii="楷体_GB2312" w:hAnsi="仿宋" w:eastAsia="楷体_GB2312"/>
          <w:color w:val="000000"/>
          <w:sz w:val="32"/>
          <w:szCs w:val="32"/>
        </w:rPr>
        <w:t>（三）中心工作人员全程见证评标和定标活动。</w:t>
      </w:r>
    </w:p>
    <w:p>
      <w:pPr>
        <w:shd w:val="clear" w:color="auto" w:fill="FFFFFF"/>
        <w:adjustRightInd w:val="0"/>
        <w:snapToGrid w:val="0"/>
        <w:spacing w:line="560" w:lineRule="exact"/>
        <w:ind w:firstLine="630" w:firstLineChars="196"/>
        <w:jc w:val="left"/>
        <w:rPr>
          <w:rFonts w:ascii="仿宋_GB2312" w:hAnsi="仿宋" w:eastAsia="仿宋_GB2312"/>
          <w:color w:val="000000"/>
          <w:sz w:val="32"/>
          <w:szCs w:val="32"/>
        </w:rPr>
      </w:pPr>
      <w:r>
        <w:rPr>
          <w:rFonts w:hint="eastAsia" w:ascii="仿宋_GB2312" w:hAnsi="仿宋" w:eastAsia="仿宋_GB2312"/>
          <w:b/>
          <w:color w:val="000000"/>
          <w:sz w:val="32"/>
          <w:szCs w:val="32"/>
        </w:rPr>
        <w:t>第二十三条</w:t>
      </w:r>
      <w:r>
        <w:rPr>
          <w:rFonts w:hint="eastAsia" w:ascii="仿宋_GB2312" w:hAnsi="仿宋" w:eastAsia="仿宋_GB2312"/>
          <w:color w:val="000000"/>
          <w:sz w:val="32"/>
          <w:szCs w:val="32"/>
        </w:rPr>
        <w:t xml:space="preserve">  评标委员会按照招标（资格审查）文件确定的评标(评审)标准和方法对投标（资格预审申请）文件进行评审和比较，客观、公正地提出评审意见，文件没有规定的评标(评审)标准和方法不得作为评标（资格审查）的依据。</w:t>
      </w:r>
    </w:p>
    <w:p>
      <w:pPr>
        <w:shd w:val="clear" w:color="auto" w:fill="FFFFFF"/>
        <w:adjustRightInd w:val="0"/>
        <w:snapToGrid w:val="0"/>
        <w:spacing w:line="560" w:lineRule="exact"/>
        <w:ind w:firstLine="630" w:firstLineChars="196"/>
        <w:jc w:val="left"/>
        <w:rPr>
          <w:rFonts w:ascii="仿宋_GB2312" w:hAnsi="仿宋" w:eastAsia="仿宋_GB2312"/>
          <w:color w:val="000000"/>
          <w:sz w:val="32"/>
          <w:szCs w:val="32"/>
        </w:rPr>
      </w:pPr>
      <w:r>
        <w:rPr>
          <w:rFonts w:hint="eastAsia" w:ascii="仿宋_GB2312" w:hAnsi="仿宋" w:eastAsia="仿宋_GB2312"/>
          <w:b/>
          <w:color w:val="000000"/>
          <w:sz w:val="32"/>
          <w:szCs w:val="32"/>
        </w:rPr>
        <w:t>第二十四条</w:t>
      </w:r>
      <w:r>
        <w:rPr>
          <w:rFonts w:hint="eastAsia" w:ascii="仿宋_GB2312" w:hAnsi="仿宋" w:eastAsia="仿宋_GB2312"/>
          <w:color w:val="000000"/>
          <w:sz w:val="32"/>
          <w:szCs w:val="32"/>
        </w:rPr>
        <w:t xml:space="preserve">  资格预审报告包括但不限于以下内容：</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（一）递交资格预审申请人名单及签到表；</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（二）资格审查委员会成员名单（专家抽取名单及招标人评委名单）及签到表；</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（三）资格预审基本情况，初步评审与详细评审情况表，资格审查委员会评分表与汇总表，澄清与核实材料（如有），通过资格预审的申请人名单、排序等。</w:t>
      </w:r>
    </w:p>
    <w:p>
      <w:pPr>
        <w:shd w:val="clear" w:color="auto" w:fill="FFFFFF"/>
        <w:adjustRightInd w:val="0"/>
        <w:snapToGrid w:val="0"/>
        <w:spacing w:line="560" w:lineRule="exact"/>
        <w:ind w:firstLine="630" w:firstLineChars="196"/>
        <w:jc w:val="left"/>
        <w:rPr>
          <w:rFonts w:ascii="仿宋_GB2312" w:hAnsi="仿宋" w:eastAsia="仿宋_GB2312"/>
          <w:color w:val="000000"/>
          <w:sz w:val="32"/>
          <w:szCs w:val="32"/>
        </w:rPr>
      </w:pPr>
      <w:r>
        <w:rPr>
          <w:rFonts w:hint="eastAsia" w:ascii="仿宋_GB2312" w:hAnsi="仿宋" w:eastAsia="仿宋_GB2312"/>
          <w:b/>
          <w:color w:val="000000"/>
          <w:sz w:val="32"/>
          <w:szCs w:val="32"/>
        </w:rPr>
        <w:t>第二十五条</w:t>
      </w:r>
      <w:r>
        <w:rPr>
          <w:rFonts w:hint="eastAsia" w:ascii="仿宋_GB2312" w:hAnsi="仿宋" w:eastAsia="仿宋_GB2312"/>
          <w:color w:val="000000"/>
          <w:sz w:val="32"/>
          <w:szCs w:val="32"/>
        </w:rPr>
        <w:t xml:space="preserve">  评标报告内容包括但不限于以下内容：</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（一）递交投标文件的投标人名单及签到表；</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（二）评标委员会成员名单（专家抽取名单及招标人评委名单）及签到表；</w:t>
      </w:r>
    </w:p>
    <w:p>
      <w:pPr>
        <w:shd w:val="clear" w:color="auto" w:fill="FFFFFF"/>
        <w:adjustRightInd w:val="0"/>
        <w:snapToGrid w:val="0"/>
        <w:spacing w:line="560" w:lineRule="exact"/>
        <w:ind w:firstLine="640" w:firstLineChars="200"/>
        <w:jc w:val="left"/>
        <w:rPr>
          <w:rFonts w:ascii="仿宋_GB2312" w:hAnsi="仿宋" w:eastAsia="仿宋_GB2312"/>
          <w:color w:val="000000"/>
          <w:sz w:val="32"/>
          <w:szCs w:val="32"/>
        </w:rPr>
      </w:pPr>
      <w:r>
        <w:rPr>
          <w:rFonts w:hint="eastAsia" w:ascii="仿宋_GB2312" w:hAnsi="仿宋" w:eastAsia="仿宋_GB2312"/>
          <w:color w:val="000000"/>
          <w:sz w:val="32"/>
          <w:szCs w:val="32"/>
        </w:rPr>
        <w:t>（三）招标基本情况和数据表，符合要求的投标一览表，投标被否决情况说明，评标标准、评标方法或评标因素一览表，经评审的价格或者评分比较一览表，经评审的投标人排序，推荐的中标候选人名单与签定合同前要处理的事宜，澄清、说明、补正事项纪要等。</w:t>
      </w:r>
    </w:p>
    <w:p>
      <w:pPr>
        <w:shd w:val="clear" w:color="auto" w:fill="FFFFFF"/>
        <w:adjustRightInd w:val="0"/>
        <w:snapToGrid w:val="0"/>
        <w:spacing w:line="560" w:lineRule="exact"/>
        <w:ind w:firstLine="643" w:firstLineChars="200"/>
        <w:jc w:val="left"/>
        <w:rPr>
          <w:rFonts w:ascii="仿宋_GB2312" w:hAnsi="仿宋" w:eastAsia="仿宋_GB2312"/>
          <w:color w:val="000000"/>
          <w:sz w:val="32"/>
          <w:szCs w:val="32"/>
        </w:rPr>
      </w:pPr>
      <w:r>
        <w:rPr>
          <w:rFonts w:hint="eastAsia" w:ascii="仿宋_GB2312" w:hAnsi="仿宋" w:eastAsia="仿宋_GB2312"/>
          <w:b/>
          <w:color w:val="000000"/>
          <w:sz w:val="32"/>
          <w:szCs w:val="32"/>
        </w:rPr>
        <w:t>第二十六条</w:t>
      </w:r>
      <w:r>
        <w:rPr>
          <w:rFonts w:hint="eastAsia" w:ascii="仿宋_GB2312" w:hAnsi="仿宋" w:eastAsia="仿宋_GB2312"/>
          <w:color w:val="000000"/>
          <w:sz w:val="32"/>
          <w:szCs w:val="32"/>
        </w:rPr>
        <w:t xml:space="preserve">  定标报告内容包括但不限于以下内容：</w:t>
      </w:r>
    </w:p>
    <w:p>
      <w:pPr>
        <w:shd w:val="clear" w:color="auto" w:fill="FFFFFF"/>
        <w:adjustRightInd w:val="0"/>
        <w:snapToGrid w:val="0"/>
        <w:spacing w:line="560" w:lineRule="exact"/>
        <w:ind w:firstLine="640" w:firstLineChars="200"/>
        <w:jc w:val="left"/>
        <w:rPr>
          <w:rFonts w:ascii="仿宋_GB2312" w:hAnsi="仿宋" w:eastAsia="仿宋_GB2312"/>
          <w:color w:val="000000"/>
          <w:sz w:val="32"/>
          <w:szCs w:val="32"/>
        </w:rPr>
      </w:pPr>
      <w:r>
        <w:rPr>
          <w:rFonts w:hint="eastAsia" w:ascii="仿宋_GB2312" w:hAnsi="仿宋" w:eastAsia="仿宋_GB2312"/>
          <w:color w:val="000000"/>
          <w:sz w:val="32"/>
          <w:szCs w:val="32"/>
        </w:rPr>
        <w:t>（一）定标概况一览表；</w:t>
      </w:r>
    </w:p>
    <w:p>
      <w:pPr>
        <w:shd w:val="clear" w:color="auto" w:fill="FFFFFF"/>
        <w:adjustRightInd w:val="0"/>
        <w:snapToGrid w:val="0"/>
        <w:spacing w:line="560" w:lineRule="exact"/>
        <w:ind w:firstLine="640" w:firstLineChars="200"/>
        <w:jc w:val="left"/>
        <w:rPr>
          <w:rFonts w:ascii="仿宋_GB2312" w:hAnsi="仿宋" w:eastAsia="仿宋_GB2312"/>
          <w:color w:val="000000"/>
          <w:sz w:val="32"/>
          <w:szCs w:val="32"/>
        </w:rPr>
      </w:pPr>
      <w:r>
        <w:rPr>
          <w:rFonts w:hint="eastAsia" w:ascii="仿宋_GB2312" w:hAnsi="仿宋" w:eastAsia="仿宋_GB2312"/>
          <w:color w:val="000000"/>
          <w:sz w:val="32"/>
          <w:szCs w:val="32"/>
        </w:rPr>
        <w:t>（二）定标委员会成员名单；</w:t>
      </w:r>
    </w:p>
    <w:p>
      <w:pPr>
        <w:shd w:val="clear" w:color="auto" w:fill="FFFFFF"/>
        <w:adjustRightInd w:val="0"/>
        <w:snapToGrid w:val="0"/>
        <w:spacing w:line="560" w:lineRule="exact"/>
        <w:ind w:firstLine="640" w:firstLineChars="200"/>
        <w:jc w:val="left"/>
        <w:rPr>
          <w:rFonts w:ascii="仿宋_GB2312" w:hAnsi="仿宋" w:eastAsia="仿宋_GB2312"/>
          <w:color w:val="000000"/>
          <w:sz w:val="32"/>
          <w:szCs w:val="32"/>
        </w:rPr>
      </w:pPr>
      <w:r>
        <w:rPr>
          <w:rFonts w:hint="eastAsia" w:ascii="仿宋_GB2312" w:hAnsi="仿宋" w:eastAsia="仿宋_GB2312"/>
          <w:color w:val="000000"/>
          <w:sz w:val="32"/>
          <w:szCs w:val="32"/>
        </w:rPr>
        <w:t>（三）定标监督小组成员名单；</w:t>
      </w:r>
    </w:p>
    <w:p>
      <w:pPr>
        <w:shd w:val="clear" w:color="auto" w:fill="FFFFFF"/>
        <w:adjustRightInd w:val="0"/>
        <w:snapToGrid w:val="0"/>
        <w:spacing w:line="560" w:lineRule="exact"/>
        <w:ind w:firstLine="640" w:firstLineChars="200"/>
        <w:jc w:val="left"/>
        <w:rPr>
          <w:rFonts w:ascii="仿宋_GB2312" w:hAnsi="仿宋" w:eastAsia="仿宋_GB2312"/>
          <w:color w:val="000000"/>
          <w:sz w:val="32"/>
          <w:szCs w:val="32"/>
        </w:rPr>
      </w:pPr>
      <w:r>
        <w:rPr>
          <w:rFonts w:hint="eastAsia" w:ascii="仿宋_GB2312" w:hAnsi="仿宋" w:eastAsia="仿宋_GB2312"/>
          <w:color w:val="000000"/>
          <w:sz w:val="32"/>
          <w:szCs w:val="32"/>
        </w:rPr>
        <w:t>（四）定标标准、定标办法；</w:t>
      </w:r>
    </w:p>
    <w:p>
      <w:pPr>
        <w:shd w:val="clear" w:color="auto" w:fill="FFFFFF"/>
        <w:adjustRightInd w:val="0"/>
        <w:snapToGrid w:val="0"/>
        <w:spacing w:line="560" w:lineRule="exact"/>
        <w:ind w:firstLine="640" w:firstLineChars="200"/>
        <w:jc w:val="left"/>
        <w:rPr>
          <w:rFonts w:ascii="仿宋_GB2312" w:hAnsi="仿宋" w:eastAsia="仿宋_GB2312"/>
          <w:color w:val="000000"/>
          <w:sz w:val="32"/>
          <w:szCs w:val="32"/>
        </w:rPr>
      </w:pPr>
      <w:r>
        <w:rPr>
          <w:rFonts w:hint="eastAsia" w:ascii="仿宋_GB2312" w:hAnsi="仿宋" w:eastAsia="仿宋_GB2312"/>
          <w:color w:val="000000"/>
          <w:sz w:val="32"/>
          <w:szCs w:val="32"/>
        </w:rPr>
        <w:t>（五）定标情况；</w:t>
      </w:r>
    </w:p>
    <w:p>
      <w:pPr>
        <w:shd w:val="clear" w:color="auto" w:fill="FFFFFF"/>
        <w:adjustRightInd w:val="0"/>
        <w:snapToGrid w:val="0"/>
        <w:spacing w:line="560" w:lineRule="exact"/>
        <w:ind w:firstLine="640" w:firstLineChars="200"/>
        <w:jc w:val="left"/>
        <w:rPr>
          <w:rFonts w:ascii="仿宋_GB2312" w:hAnsi="仿宋" w:eastAsia="仿宋_GB2312"/>
          <w:color w:val="000000"/>
          <w:sz w:val="32"/>
          <w:szCs w:val="32"/>
        </w:rPr>
      </w:pPr>
      <w:r>
        <w:rPr>
          <w:rFonts w:hint="eastAsia" w:ascii="仿宋_GB2312" w:hAnsi="仿宋" w:eastAsia="仿宋_GB2312"/>
          <w:color w:val="000000"/>
          <w:sz w:val="32"/>
          <w:szCs w:val="32"/>
        </w:rPr>
        <w:t>（六）定标结果；</w:t>
      </w:r>
    </w:p>
    <w:p>
      <w:pPr>
        <w:shd w:val="clear" w:color="auto" w:fill="FFFFFF"/>
        <w:adjustRightInd w:val="0"/>
        <w:snapToGrid w:val="0"/>
        <w:spacing w:line="560" w:lineRule="exact"/>
        <w:ind w:firstLine="640" w:firstLineChars="200"/>
        <w:jc w:val="left"/>
        <w:rPr>
          <w:rFonts w:ascii="仿宋_GB2312" w:hAnsi="仿宋" w:eastAsia="仿宋_GB2312"/>
          <w:color w:val="000000"/>
          <w:sz w:val="32"/>
          <w:szCs w:val="32"/>
        </w:rPr>
      </w:pPr>
      <w:r>
        <w:rPr>
          <w:rFonts w:hint="eastAsia" w:ascii="仿宋_GB2312" w:hAnsi="仿宋" w:eastAsia="仿宋_GB2312"/>
          <w:color w:val="000000"/>
          <w:sz w:val="32"/>
          <w:szCs w:val="32"/>
        </w:rPr>
        <w:t>（七）定标评审表（比优）或直接票决定标选票表。</w:t>
      </w:r>
    </w:p>
    <w:p>
      <w:pPr>
        <w:shd w:val="clear" w:color="auto" w:fill="FFFFFF"/>
        <w:adjustRightInd w:val="0"/>
        <w:snapToGrid w:val="0"/>
        <w:spacing w:line="560" w:lineRule="exact"/>
        <w:ind w:firstLine="597"/>
        <w:jc w:val="left"/>
        <w:rPr>
          <w:rFonts w:ascii="仿宋_GB2312" w:hAnsi="仿宋" w:eastAsia="仿宋_GB2312"/>
          <w:color w:val="000000"/>
          <w:sz w:val="32"/>
          <w:szCs w:val="32"/>
        </w:rPr>
      </w:pPr>
      <w:r>
        <w:rPr>
          <w:rFonts w:hint="eastAsia" w:ascii="仿宋_GB2312" w:hAnsi="仿宋" w:eastAsia="仿宋_GB2312"/>
          <w:b/>
          <w:color w:val="000000"/>
          <w:sz w:val="32"/>
          <w:szCs w:val="32"/>
        </w:rPr>
        <w:t>第二十七条</w:t>
      </w:r>
      <w:r>
        <w:rPr>
          <w:rFonts w:hint="eastAsia" w:ascii="仿宋_GB2312" w:hAnsi="仿宋" w:eastAsia="仿宋_GB2312"/>
          <w:color w:val="000000"/>
          <w:sz w:val="32"/>
          <w:szCs w:val="32"/>
        </w:rPr>
        <w:t xml:space="preserve">  采取综合评分法的，招标人或招标代理机构自收到评标报告之日起3日内，登陆电子交易系统中标候选人公示菜单，录入标段（包）信息、中标候选人信息、中标候选人公示信息、中标候选人公示内容等。</w:t>
      </w:r>
    </w:p>
    <w:p>
      <w:pPr>
        <w:shd w:val="clear" w:color="auto" w:fill="FFFFFF"/>
        <w:adjustRightInd w:val="0"/>
        <w:snapToGrid w:val="0"/>
        <w:spacing w:line="560" w:lineRule="exact"/>
        <w:ind w:firstLine="597"/>
        <w:jc w:val="left"/>
        <w:rPr>
          <w:rFonts w:ascii="仿宋_GB2312" w:hAnsi="仿宋" w:eastAsia="仿宋_GB2312"/>
          <w:color w:val="000000"/>
          <w:sz w:val="32"/>
          <w:szCs w:val="32"/>
        </w:rPr>
      </w:pPr>
      <w:r>
        <w:rPr>
          <w:rFonts w:hint="eastAsia" w:ascii="仿宋_GB2312" w:hAnsi="仿宋" w:eastAsia="仿宋_GB2312"/>
          <w:color w:val="000000"/>
          <w:sz w:val="32"/>
          <w:szCs w:val="32"/>
        </w:rPr>
        <w:t>采取评定分离的，在评标环节，招标人或招标代理机构自收到评标报告之日起3日内，登陆电子交易系统定标候选人公示菜单，录入标段（包）信息、定标候选人信息、定标候选人公示信息、定标候选人公示内容等。在定标环节，招标人或招标代理机构自收到定标报告之日起3日内，登陆电子交易系统定标结果公示菜单，录入标段（包）信息、定标人信息、定标人公示信息、定标人公示内容等。</w:t>
      </w:r>
    </w:p>
    <w:p>
      <w:pPr>
        <w:shd w:val="clear" w:color="auto" w:fill="FFFFFF"/>
        <w:adjustRightInd w:val="0"/>
        <w:snapToGrid w:val="0"/>
        <w:spacing w:line="560" w:lineRule="exact"/>
        <w:ind w:firstLine="597"/>
        <w:jc w:val="left"/>
        <w:rPr>
          <w:rFonts w:ascii="仿宋_GB2312" w:hAnsi="仿宋" w:eastAsia="仿宋_GB2312" w:cs="宋体"/>
          <w:color w:val="000000"/>
          <w:kern w:val="0"/>
          <w:sz w:val="32"/>
          <w:szCs w:val="32"/>
        </w:rPr>
      </w:pPr>
      <w:r>
        <w:rPr>
          <w:rFonts w:hint="eastAsia" w:ascii="仿宋_GB2312" w:hAnsi="仿宋" w:eastAsia="仿宋_GB2312"/>
          <w:b/>
          <w:color w:val="000000"/>
          <w:sz w:val="32"/>
          <w:szCs w:val="32"/>
        </w:rPr>
        <w:t xml:space="preserve">第二十八条  </w:t>
      </w:r>
      <w:r>
        <w:rPr>
          <w:rFonts w:hint="eastAsia" w:ascii="仿宋_GB2312" w:hAnsi="仿宋" w:eastAsia="仿宋_GB2312"/>
          <w:color w:val="000000"/>
          <w:sz w:val="32"/>
          <w:szCs w:val="32"/>
        </w:rPr>
        <w:t>投标人或者其它利害关系人对依法必须招标项目的评标结果有异议的，应当在评标结果公示期内提出，招标人应当自收到异议之日起3日内答复；答复前，应当暂停招投标活动。异议和答复应在电子交易系统内完成。</w:t>
      </w:r>
    </w:p>
    <w:p>
      <w:pPr>
        <w:shd w:val="clear" w:color="auto" w:fill="FFFFFF"/>
        <w:adjustRightInd w:val="0"/>
        <w:snapToGrid w:val="0"/>
        <w:spacing w:line="560" w:lineRule="exact"/>
        <w:ind w:firstLine="643" w:firstLineChars="200"/>
        <w:jc w:val="left"/>
        <w:rPr>
          <w:rFonts w:ascii="仿宋_GB2312" w:hAnsi="仿宋" w:eastAsia="仿宋_GB2312" w:cs="宋体"/>
          <w:color w:val="000000"/>
          <w:kern w:val="0"/>
          <w:sz w:val="32"/>
          <w:szCs w:val="32"/>
        </w:rPr>
      </w:pPr>
      <w:r>
        <w:rPr>
          <w:rFonts w:hint="eastAsia" w:ascii="仿宋_GB2312" w:hAnsi="仿宋" w:eastAsia="仿宋_GB2312"/>
          <w:b/>
          <w:color w:val="000000"/>
          <w:sz w:val="32"/>
          <w:szCs w:val="32"/>
        </w:rPr>
        <w:t>第二十九条</w:t>
      </w:r>
      <w:r>
        <w:rPr>
          <w:rFonts w:hint="eastAsia" w:ascii="仿宋_GB2312" w:hAnsi="仿宋" w:eastAsia="仿宋_GB2312" w:cs="宋体"/>
          <w:color w:val="000000"/>
          <w:kern w:val="0"/>
          <w:sz w:val="32"/>
          <w:szCs w:val="32"/>
        </w:rPr>
        <w:t xml:space="preserve">  评标结果或定标结果公示期满，没有异议或投诉,或异议投诉已处理完毕的，招标人或招标代理机构</w:t>
      </w:r>
      <w:r>
        <w:rPr>
          <w:rFonts w:hint="eastAsia" w:ascii="仿宋_GB2312" w:hAnsi="仿宋" w:eastAsia="仿宋_GB2312"/>
          <w:color w:val="000000"/>
          <w:sz w:val="32"/>
          <w:szCs w:val="32"/>
        </w:rPr>
        <w:t>登陆电子交易系统</w:t>
      </w:r>
      <w:r>
        <w:rPr>
          <w:rFonts w:hint="eastAsia" w:ascii="仿宋_GB2312" w:hAnsi="仿宋" w:eastAsia="仿宋_GB2312" w:cs="宋体"/>
          <w:color w:val="000000"/>
          <w:kern w:val="0"/>
          <w:sz w:val="32"/>
          <w:szCs w:val="32"/>
        </w:rPr>
        <w:t>填报中标结果信息、公告信息，提交确定中标结果公告文件。</w:t>
      </w:r>
    </w:p>
    <w:p>
      <w:pPr>
        <w:shd w:val="clear" w:color="auto" w:fill="FFFFFF"/>
        <w:adjustRightInd w:val="0"/>
        <w:snapToGrid w:val="0"/>
        <w:spacing w:line="560" w:lineRule="exact"/>
        <w:ind w:firstLine="643" w:firstLineChars="200"/>
        <w:jc w:val="left"/>
        <w:rPr>
          <w:rFonts w:ascii="仿宋_GB2312" w:hAnsi="仿宋" w:eastAsia="仿宋_GB2312" w:cs="宋体"/>
          <w:color w:val="000000"/>
          <w:kern w:val="0"/>
          <w:sz w:val="32"/>
          <w:szCs w:val="32"/>
        </w:rPr>
      </w:pPr>
      <w:r>
        <w:rPr>
          <w:rFonts w:hint="eastAsia" w:ascii="仿宋_GB2312" w:hAnsi="仿宋" w:eastAsia="仿宋_GB2312"/>
          <w:b/>
          <w:color w:val="000000"/>
          <w:sz w:val="32"/>
          <w:szCs w:val="32"/>
        </w:rPr>
        <w:t xml:space="preserve">第三十条  </w:t>
      </w:r>
      <w:r>
        <w:rPr>
          <w:rFonts w:ascii="仿宋_GB2312" w:hAnsi="仿宋" w:eastAsia="仿宋_GB2312" w:cs="宋体"/>
          <w:color w:val="000000"/>
          <w:kern w:val="0"/>
          <w:sz w:val="32"/>
          <w:szCs w:val="32"/>
        </w:rPr>
        <w:t>招标人或招标代理机构应按中标结果向中标人发送中标通知书并签订合同。</w:t>
      </w:r>
      <w:r>
        <w:rPr>
          <w:rFonts w:hint="eastAsia" w:ascii="仿宋_GB2312" w:hAnsi="仿宋" w:eastAsia="仿宋_GB2312"/>
          <w:color w:val="000000"/>
          <w:sz w:val="32"/>
          <w:szCs w:val="32"/>
        </w:rPr>
        <w:t>合同签订后，招标人或招标代理机构登陆电子交易系统,</w:t>
      </w:r>
      <w:r>
        <w:rPr>
          <w:rFonts w:hint="eastAsia" w:ascii="仿宋_GB2312" w:hAnsi="仿宋" w:eastAsia="仿宋_GB2312"/>
          <w:color w:val="000000"/>
          <w:sz w:val="32"/>
          <w:szCs w:val="32"/>
          <w:shd w:val="clear" w:color="auto" w:fill="FFFFFF"/>
        </w:rPr>
        <w:t>扫描上传建设单位与中标单位签订的合同文本原件，</w:t>
      </w:r>
      <w:r>
        <w:rPr>
          <w:rFonts w:hint="eastAsia" w:ascii="仿宋_GB2312" w:hAnsi="仿宋" w:eastAsia="仿宋_GB2312"/>
          <w:color w:val="000000"/>
          <w:sz w:val="32"/>
          <w:szCs w:val="32"/>
        </w:rPr>
        <w:t>提交合同备案文件进行备案。</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有关监管单位对符合合同备案要求的予以备案。对不符合要求的，应当一次性告知招标人或招标代理机构需要补正的全部内容。</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sz w:val="32"/>
          <w:szCs w:val="32"/>
        </w:rPr>
        <w:t xml:space="preserve">第三十一条  </w:t>
      </w:r>
      <w:r>
        <w:rPr>
          <w:rFonts w:hint="eastAsia" w:ascii="仿宋_GB2312" w:hAnsi="仿宋" w:eastAsia="仿宋_GB2312"/>
          <w:sz w:val="32"/>
          <w:szCs w:val="32"/>
        </w:rPr>
        <w:t>采用银行汇款方式递交的投标保证金，非中标候选人的保证金在发布中标候选人公示后，由投标保证金系统自动推送保证金退还申请，中心在接到申请，并核对无误后1个工作日内完成投标保证金及银行同期存款活期利息退还。</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中标候选人的保证金在发布中标结果公告后，由投标保证金系统自动推送保证金退还申请，中心在接到申请，并核对无误后1个工作日内完成投标保证金及银行同期存款活期利息退还。</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中标人的投标保证金由招标人或招标代理机构在网上提出保证金退还申请，中心在接到申请，并核对无误后2个工作日内完成投标保证金及银行同期存款活期利息退还。</w:t>
      </w:r>
      <w:r>
        <w:rPr>
          <w:rFonts w:ascii="仿宋_GB2312" w:hAnsi="仿宋" w:eastAsia="仿宋_GB2312"/>
          <w:color w:val="000000"/>
          <w:sz w:val="32"/>
          <w:szCs w:val="32"/>
        </w:rPr>
        <w:t xml:space="preserve"> </w:t>
      </w:r>
    </w:p>
    <w:p>
      <w:pPr>
        <w:shd w:val="clear" w:color="auto" w:fill="FFFFFF"/>
        <w:adjustRightInd w:val="0"/>
        <w:snapToGrid w:val="0"/>
        <w:spacing w:line="560" w:lineRule="exact"/>
        <w:jc w:val="center"/>
        <w:rPr>
          <w:rFonts w:ascii="黑体" w:hAnsi="黑体" w:eastAsia="黑体"/>
          <w:bCs/>
          <w:color w:val="000000"/>
          <w:sz w:val="32"/>
          <w:szCs w:val="32"/>
        </w:rPr>
      </w:pPr>
    </w:p>
    <w:p>
      <w:pPr>
        <w:adjustRightInd w:val="0"/>
        <w:snapToGrid w:val="0"/>
        <w:spacing w:line="560" w:lineRule="exact"/>
        <w:jc w:val="center"/>
        <w:rPr>
          <w:rFonts w:ascii="黑体" w:hAnsi="黑体" w:eastAsia="黑体"/>
          <w:bCs/>
          <w:color w:val="000000"/>
          <w:sz w:val="32"/>
          <w:szCs w:val="32"/>
        </w:rPr>
      </w:pPr>
      <w:r>
        <w:rPr>
          <w:rFonts w:hint="eastAsia" w:ascii="黑体" w:hAnsi="黑体" w:eastAsia="黑体"/>
          <w:bCs/>
          <w:color w:val="000000"/>
          <w:sz w:val="32"/>
          <w:szCs w:val="32"/>
        </w:rPr>
        <w:t>第五章  招投标档案管理</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第三十二条</w:t>
      </w:r>
      <w:r>
        <w:rPr>
          <w:rFonts w:hint="eastAsia" w:ascii="仿宋_GB2312" w:hAnsi="仿宋" w:eastAsia="仿宋_GB2312"/>
          <w:color w:val="000000"/>
          <w:sz w:val="32"/>
          <w:szCs w:val="32"/>
        </w:rPr>
        <w:t xml:space="preserve">  进场项目交易完毕后，招标人或代理机构应当及时整理项目招标投标过程的电子档案材料，如有缺项及时向中心档案管理工作人员报告。</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 xml:space="preserve">招标投标电子档案应真实、完整、有效地反映电子招标投标全过程，包括但不限于以下内容: </w:t>
      </w:r>
    </w:p>
    <w:p>
      <w:pPr>
        <w:pStyle w:val="16"/>
        <w:numPr>
          <w:ilvl w:val="0"/>
          <w:numId w:val="1"/>
        </w:numPr>
        <w:adjustRightInd w:val="0"/>
        <w:snapToGrid w:val="0"/>
        <w:spacing w:line="560" w:lineRule="exact"/>
        <w:ind w:firstLineChars="0"/>
        <w:rPr>
          <w:rFonts w:ascii="楷体_GB2312" w:hAnsi="仿宋" w:eastAsia="楷体_GB2312"/>
          <w:color w:val="000000"/>
          <w:sz w:val="32"/>
          <w:szCs w:val="32"/>
        </w:rPr>
      </w:pPr>
      <w:r>
        <w:rPr>
          <w:rFonts w:hint="eastAsia" w:ascii="楷体_GB2312" w:hAnsi="仿宋" w:eastAsia="楷体_GB2312"/>
          <w:color w:val="000000"/>
          <w:sz w:val="32"/>
          <w:szCs w:val="32"/>
        </w:rPr>
        <w:t>采取综合评分法的项目</w:t>
      </w:r>
    </w:p>
    <w:p>
      <w:pPr>
        <w:adjustRightInd w:val="0"/>
        <w:snapToGrid w:val="0"/>
        <w:spacing w:line="560" w:lineRule="exact"/>
        <w:rPr>
          <w:rFonts w:ascii="仿宋_GB2312" w:hAnsi="仿宋" w:eastAsia="仿宋_GB2312"/>
          <w:color w:val="000000"/>
          <w:sz w:val="32"/>
          <w:szCs w:val="32"/>
        </w:rPr>
      </w:pPr>
      <w:r>
        <w:rPr>
          <w:rFonts w:hint="eastAsia" w:ascii="仿宋_GB2312" w:hAnsi="仿宋" w:eastAsia="仿宋_GB2312"/>
          <w:color w:val="000000"/>
          <w:sz w:val="32"/>
          <w:szCs w:val="32"/>
        </w:rPr>
        <w:t xml:space="preserve">    1.项目登记文件；</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2.资格预审公告、招标公告或者投标邀请书；</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3.资格预审文件、招标文件及其澄清、补充和修改；</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4.资格预审申请文件、投标文件及其澄清和说明；</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5.资格审查报告、评标报告；</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6.资格预审结果通知书和中标通知书；</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7.合同；</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8.系统运行环境、元数据等；</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9.法律法规规定的其他文件。</w:t>
      </w:r>
    </w:p>
    <w:p>
      <w:pPr>
        <w:adjustRightInd w:val="0"/>
        <w:snapToGrid w:val="0"/>
        <w:spacing w:line="560" w:lineRule="exact"/>
        <w:ind w:firstLine="640" w:firstLineChars="200"/>
        <w:rPr>
          <w:rFonts w:ascii="楷体_GB2312" w:hAnsi="仿宋" w:eastAsia="楷体_GB2312"/>
          <w:color w:val="000000"/>
          <w:sz w:val="32"/>
          <w:szCs w:val="32"/>
        </w:rPr>
      </w:pPr>
      <w:r>
        <w:rPr>
          <w:rFonts w:hint="eastAsia" w:ascii="楷体_GB2312" w:hAnsi="仿宋" w:eastAsia="楷体_GB2312"/>
          <w:color w:val="000000"/>
          <w:sz w:val="32"/>
          <w:szCs w:val="32"/>
        </w:rPr>
        <w:t>（二）采取评定分离的项目</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1.项目登记文件；</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2.资格预审公告、招标公告或者投标邀请书；</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3.资格预审文件、招标文件及其澄清、补充和修改；</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4.资格预审申请文件、投标文件及其澄清和说明；</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5.资格审查报告、评标报告；</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6.入围定标候选人的调研和清标报告；</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7.定标报告；</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8.中标通知书；</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9.合同；</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10.系统运行环境、元数据等；</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11.法律法规规定的其他文件。</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第三十三条</w:t>
      </w:r>
      <w:r>
        <w:rPr>
          <w:rFonts w:hint="eastAsia" w:ascii="仿宋_GB2312" w:hAnsi="仿宋" w:eastAsia="仿宋_GB2312"/>
          <w:color w:val="000000"/>
          <w:sz w:val="32"/>
          <w:szCs w:val="32"/>
        </w:rPr>
        <w:t xml:space="preserve">  中心应当采取必要措施，保证招标投标档案的原始、真实和完整性。因工作需要查阅档案的，应办理查阅手续，查阅档案时不得私自复制、调换、涂改、损毁、划线等。</w:t>
      </w:r>
    </w:p>
    <w:p>
      <w:pPr>
        <w:adjustRightInd w:val="0"/>
        <w:snapToGrid w:val="0"/>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招投标档案保管期限按照有关规定执行。</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第三十四条</w:t>
      </w:r>
      <w:r>
        <w:rPr>
          <w:rFonts w:hint="eastAsia" w:ascii="仿宋_GB2312" w:hAnsi="仿宋" w:eastAsia="仿宋_GB2312"/>
          <w:color w:val="000000"/>
          <w:sz w:val="32"/>
          <w:szCs w:val="32"/>
        </w:rPr>
        <w:t xml:space="preserve">  招标项目所必须的条件发生了变化、因不可抗力等原因，招标人需要终止招标的，经有关监管部门批复后，招标人或招标代理机构登陆电子交易系统，提出终止招标备案申请，并上传有关监管部门批复意见及相关证明材料，中心确认，招标人或招标代理机构及时发布公告，或者以书面形式通知被邀请的或者已经获得资格预审文件、招标文件的潜在投标人。已经收取投标保证金的，招标人或招标代理机构应当及时向中心申请退还所收取的投标保证金及银行同期存款利息。</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 xml:space="preserve">第三十五条 </w:t>
      </w:r>
      <w:r>
        <w:rPr>
          <w:rFonts w:hint="eastAsia" w:ascii="仿宋_GB2312" w:hAnsi="仿宋" w:eastAsia="仿宋_GB2312"/>
          <w:color w:val="000000"/>
          <w:sz w:val="32"/>
          <w:szCs w:val="32"/>
        </w:rPr>
        <w:t xml:space="preserve"> 对未采用电子资格预审及电子开标、评标的招标项目，除资格预审申请文件、投标文件相应改为纸质文件外，其他参照以上流程与服务规范执行。</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第三十六条</w:t>
      </w:r>
      <w:r>
        <w:rPr>
          <w:rFonts w:hint="eastAsia" w:ascii="仿宋_GB2312" w:hAnsi="仿宋" w:eastAsia="仿宋_GB2312"/>
          <w:color w:val="000000"/>
          <w:sz w:val="32"/>
          <w:szCs w:val="32"/>
        </w:rPr>
        <w:t xml:space="preserve"> 工程建设项目以外的货物和服务的招标投标，政府采购项目结合政府采购相关法律法规及规定执行，其余参照以上流程与服务规范执行。   </w:t>
      </w:r>
    </w:p>
    <w:p>
      <w:pPr>
        <w:adjustRightInd w:val="0"/>
        <w:snapToGrid w:val="0"/>
        <w:spacing w:line="560" w:lineRule="exact"/>
        <w:jc w:val="center"/>
        <w:rPr>
          <w:rFonts w:ascii="黑体" w:hAnsi="黑体" w:eastAsia="黑体"/>
          <w:bCs/>
          <w:color w:val="000000"/>
          <w:sz w:val="32"/>
          <w:szCs w:val="32"/>
        </w:rPr>
      </w:pPr>
      <w:r>
        <w:rPr>
          <w:rFonts w:hint="eastAsia" w:ascii="黑体" w:hAnsi="黑体" w:eastAsia="黑体"/>
          <w:bCs/>
          <w:color w:val="000000"/>
          <w:sz w:val="32"/>
          <w:szCs w:val="32"/>
        </w:rPr>
        <w:t>第六章  附则</w:t>
      </w:r>
    </w:p>
    <w:p>
      <w:pPr>
        <w:adjustRightInd w:val="0"/>
        <w:snapToGrid w:val="0"/>
        <w:spacing w:line="560" w:lineRule="exact"/>
        <w:ind w:firstLine="643" w:firstLineChars="200"/>
        <w:rPr>
          <w:rFonts w:ascii="仿宋_GB2312" w:hAnsi="仿宋" w:eastAsia="仿宋_GB2312"/>
          <w:color w:val="000000"/>
          <w:sz w:val="32"/>
          <w:szCs w:val="32"/>
        </w:rPr>
      </w:pPr>
      <w:r>
        <w:rPr>
          <w:rFonts w:hint="eastAsia" w:ascii="仿宋_GB2312" w:hAnsi="仿宋" w:eastAsia="仿宋_GB2312"/>
          <w:b/>
          <w:color w:val="000000"/>
          <w:sz w:val="32"/>
          <w:szCs w:val="32"/>
        </w:rPr>
        <w:t xml:space="preserve">第三十七条 </w:t>
      </w:r>
      <w:r>
        <w:rPr>
          <w:rFonts w:hint="eastAsia" w:ascii="仿宋_GB2312" w:hAnsi="仿宋" w:eastAsia="仿宋_GB2312"/>
          <w:color w:val="000000"/>
          <w:sz w:val="32"/>
          <w:szCs w:val="32"/>
        </w:rPr>
        <w:t xml:space="preserve"> 大冶、阳新分中心参照本规程执行。</w:t>
      </w:r>
    </w:p>
    <w:p>
      <w:pPr>
        <w:adjustRightInd w:val="0"/>
        <w:snapToGrid w:val="0"/>
        <w:spacing w:line="560" w:lineRule="exact"/>
        <w:ind w:firstLine="643" w:firstLineChars="200"/>
        <w:rPr>
          <w:rFonts w:hint="eastAsia" w:ascii="仿宋_GB2312" w:hAnsi="仿宋" w:eastAsia="仿宋_GB2312"/>
          <w:color w:val="000000"/>
          <w:sz w:val="32"/>
          <w:szCs w:val="32"/>
        </w:rPr>
      </w:pPr>
      <w:r>
        <w:rPr>
          <w:rFonts w:hint="eastAsia" w:ascii="仿宋_GB2312" w:hAnsi="仿宋" w:eastAsia="仿宋_GB2312"/>
          <w:b/>
          <w:color w:val="000000"/>
          <w:sz w:val="32"/>
          <w:szCs w:val="32"/>
        </w:rPr>
        <w:t>第三十八条</w:t>
      </w:r>
      <w:r>
        <w:rPr>
          <w:rFonts w:hint="eastAsia" w:ascii="仿宋_GB2312" w:hAnsi="仿宋" w:eastAsia="仿宋_GB2312"/>
          <w:color w:val="000000"/>
          <w:sz w:val="32"/>
          <w:szCs w:val="32"/>
        </w:rPr>
        <w:t xml:space="preserve">  本规程自2020年7月1日起施行。</w:t>
      </w: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p>
    <w:p>
      <w:pPr>
        <w:adjustRightInd w:val="0"/>
        <w:snapToGrid w:val="0"/>
        <w:spacing w:line="560" w:lineRule="exact"/>
        <w:ind w:firstLine="640" w:firstLineChars="200"/>
        <w:rPr>
          <w:rFonts w:hint="eastAsia" w:ascii="仿宋_GB2312" w:hAnsi="仿宋" w:eastAsia="仿宋_GB2312"/>
          <w:color w:val="000000"/>
          <w:sz w:val="32"/>
          <w:szCs w:val="32"/>
        </w:rPr>
      </w:pPr>
      <w:bookmarkStart w:id="0" w:name="_GoBack"/>
      <w:bookmarkEnd w:id="0"/>
    </w:p>
    <w:p>
      <w:pPr>
        <w:adjustRightInd w:val="0"/>
        <w:snapToGrid w:val="0"/>
        <w:spacing w:line="560" w:lineRule="exact"/>
        <w:ind w:firstLine="640" w:firstLineChars="200"/>
        <w:rPr>
          <w:rFonts w:hint="eastAsia" w:ascii="仿宋_GB2312" w:hAnsi="仿宋" w:eastAsia="仿宋_GB2312"/>
          <w:color w:val="000000"/>
          <w:sz w:val="32"/>
          <w:szCs w:val="32"/>
        </w:rPr>
      </w:pPr>
    </w:p>
    <w:p>
      <w:pPr>
        <w:keepNext w:val="0"/>
        <w:keepLines w:val="0"/>
        <w:pageBreakBefore w:val="0"/>
        <w:kinsoku/>
        <w:overflowPunct/>
        <w:topLinePunct w:val="0"/>
        <w:autoSpaceDE/>
        <w:autoSpaceDN/>
        <w:bidi w:val="0"/>
        <w:adjustRightInd/>
        <w:snapToGrid/>
        <w:spacing w:line="540" w:lineRule="exact"/>
        <w:ind w:left="0" w:leftChars="0" w:right="0" w:rightChars="0"/>
        <w:textAlignment w:val="auto"/>
        <w:rPr>
          <w:rFonts w:hint="eastAsia" w:ascii="仿宋_GB2312" w:hAnsi="仿宋" w:eastAsia="仿宋_GB2312"/>
          <w:color w:val="000000"/>
          <w:sz w:val="32"/>
          <w:szCs w:val="32"/>
        </w:rPr>
      </w:pPr>
      <w:r>
        <w:rPr>
          <w:rFonts w:hint="eastAsia" w:ascii="仿宋_GB2312" w:hAnsi="仿宋_GB2312" w:eastAsia="仿宋_GB2312" w:cs="仿宋_GB2312"/>
          <w:b w:val="0"/>
          <w:bCs w:val="0"/>
          <w:color w:val="000000"/>
          <w:u w:val="single"/>
          <w:lang w:val="en-US" w:eastAsia="zh-CN"/>
        </w:rPr>
        <w:t xml:space="preserve">                                                                                                              </w:t>
      </w:r>
      <w:r>
        <w:rPr>
          <w:rFonts w:hint="eastAsia" w:ascii="仿宋_GB2312" w:hAnsi="仿宋_GB2312" w:eastAsia="仿宋_GB2312" w:cs="仿宋_GB2312"/>
          <w:b w:val="0"/>
          <w:bCs w:val="0"/>
          <w:color w:val="000000"/>
          <w:u w:val="none"/>
          <w:lang w:val="en-US" w:eastAsia="zh-CN"/>
        </w:rPr>
        <w:t xml:space="preserve"> </w:t>
      </w:r>
      <w:r>
        <w:rPr>
          <w:rFonts w:hint="eastAsia" w:ascii="宋体" w:hAnsi="宋体"/>
          <w:sz w:val="28"/>
          <w:szCs w:val="28"/>
          <w:u w:val="single"/>
          <w:lang w:val="en-US" w:eastAsia="zh-CN"/>
        </w:rPr>
        <w:t xml:space="preserve"> </w:t>
      </w:r>
      <w:r>
        <w:rPr>
          <w:rFonts w:hint="eastAsia" w:ascii="仿宋_GB2312" w:hAnsi="仿宋_GB2312" w:eastAsia="仿宋_GB2312" w:cs="仿宋_GB2312"/>
          <w:sz w:val="28"/>
          <w:szCs w:val="28"/>
          <w:u w:val="single"/>
          <w:lang w:val="en-US" w:eastAsia="zh-CN"/>
        </w:rPr>
        <w:t xml:space="preserve">黄石市政务服务和大数据管理局办公室          2020年7月24日印  </w:t>
      </w:r>
    </w:p>
    <w:sectPr>
      <w:footerReference r:id="rId4" w:type="first"/>
      <w:footerReference r:id="rId3" w:type="default"/>
      <w:pgSz w:w="11906" w:h="16838"/>
      <w:pgMar w:top="2098" w:right="1474" w:bottom="1985" w:left="1588"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altName w:val="微软雅黑"/>
    <w:panose1 w:val="02010609060101010101"/>
    <w:charset w:val="86"/>
    <w:family w:val="modern"/>
    <w:pitch w:val="default"/>
    <w:sig w:usb0="00000000" w:usb1="00000000"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仿宋_gbk">
    <w:altName w:val="仿宋_GB2312"/>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Times">
    <w:altName w:val="CG Times"/>
    <w:panose1 w:val="00000000000000000000"/>
    <w:charset w:val="00"/>
    <w:family w:val="auto"/>
    <w:pitch w:val="default"/>
    <w:sig w:usb0="00000000" w:usb1="00000000" w:usb2="00000000" w:usb3="00000000" w:csb0="00000000" w:csb1="00000000"/>
  </w:font>
  <w:font w:name="CG Times">
    <w:panose1 w:val="02020603050405020304"/>
    <w:charset w:val="00"/>
    <w:family w:val="auto"/>
    <w:pitch w:val="default"/>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2</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2</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7542A"/>
    <w:multiLevelType w:val="multilevel"/>
    <w:tmpl w:val="4387542A"/>
    <w:lvl w:ilvl="0" w:tentative="0">
      <w:start w:val="1"/>
      <w:numFmt w:val="japaneseCounting"/>
      <w:lvlText w:val="（%1）"/>
      <w:lvlJc w:val="left"/>
      <w:pPr>
        <w:ind w:left="1720" w:hanging="108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BA1"/>
    <w:rsid w:val="00001F3E"/>
    <w:rsid w:val="000032B3"/>
    <w:rsid w:val="00017D57"/>
    <w:rsid w:val="000202A6"/>
    <w:rsid w:val="0002443E"/>
    <w:rsid w:val="00026FEC"/>
    <w:rsid w:val="000331DA"/>
    <w:rsid w:val="00033EFA"/>
    <w:rsid w:val="000351B7"/>
    <w:rsid w:val="00036ACE"/>
    <w:rsid w:val="0004523B"/>
    <w:rsid w:val="00047799"/>
    <w:rsid w:val="00060E4F"/>
    <w:rsid w:val="00066863"/>
    <w:rsid w:val="000712BB"/>
    <w:rsid w:val="00077553"/>
    <w:rsid w:val="0008119F"/>
    <w:rsid w:val="00084487"/>
    <w:rsid w:val="00085CBC"/>
    <w:rsid w:val="00093457"/>
    <w:rsid w:val="00095402"/>
    <w:rsid w:val="000A01CC"/>
    <w:rsid w:val="000A3D5D"/>
    <w:rsid w:val="000A4912"/>
    <w:rsid w:val="000B128D"/>
    <w:rsid w:val="000B30ED"/>
    <w:rsid w:val="000C7A16"/>
    <w:rsid w:val="000C7CDF"/>
    <w:rsid w:val="000D36B9"/>
    <w:rsid w:val="000E6921"/>
    <w:rsid w:val="000F20E2"/>
    <w:rsid w:val="00101F0C"/>
    <w:rsid w:val="0011146A"/>
    <w:rsid w:val="00116658"/>
    <w:rsid w:val="00121736"/>
    <w:rsid w:val="001229CC"/>
    <w:rsid w:val="0012449F"/>
    <w:rsid w:val="00127D8F"/>
    <w:rsid w:val="001305A2"/>
    <w:rsid w:val="00136AAE"/>
    <w:rsid w:val="00137ABC"/>
    <w:rsid w:val="00143B1E"/>
    <w:rsid w:val="00150CB0"/>
    <w:rsid w:val="0015126A"/>
    <w:rsid w:val="00153A12"/>
    <w:rsid w:val="00153D11"/>
    <w:rsid w:val="00155439"/>
    <w:rsid w:val="0016025F"/>
    <w:rsid w:val="0016479E"/>
    <w:rsid w:val="00182873"/>
    <w:rsid w:val="001A0DBA"/>
    <w:rsid w:val="001A0EB7"/>
    <w:rsid w:val="001A4E8F"/>
    <w:rsid w:val="001A5BA1"/>
    <w:rsid w:val="001A7994"/>
    <w:rsid w:val="001B1994"/>
    <w:rsid w:val="001B35AB"/>
    <w:rsid w:val="001C1D25"/>
    <w:rsid w:val="001C3C07"/>
    <w:rsid w:val="001C4A16"/>
    <w:rsid w:val="001D051D"/>
    <w:rsid w:val="001D06CC"/>
    <w:rsid w:val="001D0E3D"/>
    <w:rsid w:val="001D1F9A"/>
    <w:rsid w:val="001D20D8"/>
    <w:rsid w:val="001D75E2"/>
    <w:rsid w:val="001E4184"/>
    <w:rsid w:val="001F3093"/>
    <w:rsid w:val="00200821"/>
    <w:rsid w:val="002057FE"/>
    <w:rsid w:val="002065FA"/>
    <w:rsid w:val="00210844"/>
    <w:rsid w:val="002210C4"/>
    <w:rsid w:val="00221998"/>
    <w:rsid w:val="00222D62"/>
    <w:rsid w:val="002370B6"/>
    <w:rsid w:val="00237256"/>
    <w:rsid w:val="00262A4E"/>
    <w:rsid w:val="00263165"/>
    <w:rsid w:val="00263647"/>
    <w:rsid w:val="0026430C"/>
    <w:rsid w:val="0028694E"/>
    <w:rsid w:val="00295472"/>
    <w:rsid w:val="002A025F"/>
    <w:rsid w:val="002A3196"/>
    <w:rsid w:val="002B0A71"/>
    <w:rsid w:val="002B289E"/>
    <w:rsid w:val="002C0D17"/>
    <w:rsid w:val="002C6F70"/>
    <w:rsid w:val="002D3514"/>
    <w:rsid w:val="002E230D"/>
    <w:rsid w:val="002F4C71"/>
    <w:rsid w:val="002F5667"/>
    <w:rsid w:val="00300D18"/>
    <w:rsid w:val="003136EF"/>
    <w:rsid w:val="003165C6"/>
    <w:rsid w:val="003308FA"/>
    <w:rsid w:val="00332FCC"/>
    <w:rsid w:val="00334C1C"/>
    <w:rsid w:val="003360D0"/>
    <w:rsid w:val="00340BBD"/>
    <w:rsid w:val="00340F47"/>
    <w:rsid w:val="0034524B"/>
    <w:rsid w:val="00345D1D"/>
    <w:rsid w:val="00346AA1"/>
    <w:rsid w:val="00357B89"/>
    <w:rsid w:val="003601EB"/>
    <w:rsid w:val="00371848"/>
    <w:rsid w:val="00372983"/>
    <w:rsid w:val="00383961"/>
    <w:rsid w:val="003844D4"/>
    <w:rsid w:val="00385A42"/>
    <w:rsid w:val="00387570"/>
    <w:rsid w:val="003958B7"/>
    <w:rsid w:val="003A0CB5"/>
    <w:rsid w:val="003A37D5"/>
    <w:rsid w:val="003B1327"/>
    <w:rsid w:val="003B54DB"/>
    <w:rsid w:val="003B7442"/>
    <w:rsid w:val="003C3BBE"/>
    <w:rsid w:val="003C4656"/>
    <w:rsid w:val="003C51B8"/>
    <w:rsid w:val="003C57DD"/>
    <w:rsid w:val="003D14AE"/>
    <w:rsid w:val="003E1CCD"/>
    <w:rsid w:val="003E561A"/>
    <w:rsid w:val="0040646E"/>
    <w:rsid w:val="004078F7"/>
    <w:rsid w:val="00414371"/>
    <w:rsid w:val="00433522"/>
    <w:rsid w:val="00436F18"/>
    <w:rsid w:val="0045432D"/>
    <w:rsid w:val="004669A5"/>
    <w:rsid w:val="004739DD"/>
    <w:rsid w:val="00481677"/>
    <w:rsid w:val="004822F3"/>
    <w:rsid w:val="004862A7"/>
    <w:rsid w:val="004878EA"/>
    <w:rsid w:val="00487990"/>
    <w:rsid w:val="00490811"/>
    <w:rsid w:val="00493737"/>
    <w:rsid w:val="00495700"/>
    <w:rsid w:val="004B313E"/>
    <w:rsid w:val="004C5FE6"/>
    <w:rsid w:val="004D39AF"/>
    <w:rsid w:val="004D3B15"/>
    <w:rsid w:val="004D77FD"/>
    <w:rsid w:val="004E055A"/>
    <w:rsid w:val="004E0BAE"/>
    <w:rsid w:val="004E5542"/>
    <w:rsid w:val="004F17B8"/>
    <w:rsid w:val="004F1DD6"/>
    <w:rsid w:val="004F25C9"/>
    <w:rsid w:val="004F3FB9"/>
    <w:rsid w:val="004F4FEE"/>
    <w:rsid w:val="005272CE"/>
    <w:rsid w:val="005311AD"/>
    <w:rsid w:val="00534A2D"/>
    <w:rsid w:val="00535BE5"/>
    <w:rsid w:val="00545254"/>
    <w:rsid w:val="00545263"/>
    <w:rsid w:val="005466D2"/>
    <w:rsid w:val="00550548"/>
    <w:rsid w:val="00551082"/>
    <w:rsid w:val="0056035B"/>
    <w:rsid w:val="00566E4D"/>
    <w:rsid w:val="005752D3"/>
    <w:rsid w:val="00575348"/>
    <w:rsid w:val="00575BFF"/>
    <w:rsid w:val="00581DB6"/>
    <w:rsid w:val="0059518A"/>
    <w:rsid w:val="00596F9B"/>
    <w:rsid w:val="005A40BE"/>
    <w:rsid w:val="005C318A"/>
    <w:rsid w:val="005C5E0D"/>
    <w:rsid w:val="005D2109"/>
    <w:rsid w:val="005D21C6"/>
    <w:rsid w:val="005E0842"/>
    <w:rsid w:val="00612395"/>
    <w:rsid w:val="006140CD"/>
    <w:rsid w:val="0062639A"/>
    <w:rsid w:val="00632A41"/>
    <w:rsid w:val="00633334"/>
    <w:rsid w:val="00636576"/>
    <w:rsid w:val="00652F43"/>
    <w:rsid w:val="006548EC"/>
    <w:rsid w:val="00655FD5"/>
    <w:rsid w:val="00656CC1"/>
    <w:rsid w:val="006646F5"/>
    <w:rsid w:val="006663F6"/>
    <w:rsid w:val="00666D6D"/>
    <w:rsid w:val="0067743A"/>
    <w:rsid w:val="0068368C"/>
    <w:rsid w:val="00692369"/>
    <w:rsid w:val="006975E4"/>
    <w:rsid w:val="006A1A45"/>
    <w:rsid w:val="006A319F"/>
    <w:rsid w:val="006B3476"/>
    <w:rsid w:val="006B4B30"/>
    <w:rsid w:val="006B66A1"/>
    <w:rsid w:val="006B74A9"/>
    <w:rsid w:val="006C318F"/>
    <w:rsid w:val="006C4272"/>
    <w:rsid w:val="006C485A"/>
    <w:rsid w:val="006C619B"/>
    <w:rsid w:val="006C63C1"/>
    <w:rsid w:val="006E02AA"/>
    <w:rsid w:val="006E02DC"/>
    <w:rsid w:val="006E2375"/>
    <w:rsid w:val="006E5283"/>
    <w:rsid w:val="006F0EAD"/>
    <w:rsid w:val="006F1559"/>
    <w:rsid w:val="006F78AA"/>
    <w:rsid w:val="007003FB"/>
    <w:rsid w:val="0070087E"/>
    <w:rsid w:val="00704200"/>
    <w:rsid w:val="00704637"/>
    <w:rsid w:val="007057D7"/>
    <w:rsid w:val="00710AC0"/>
    <w:rsid w:val="00711A5C"/>
    <w:rsid w:val="007232C5"/>
    <w:rsid w:val="007355B1"/>
    <w:rsid w:val="0073709E"/>
    <w:rsid w:val="007435F2"/>
    <w:rsid w:val="007623E5"/>
    <w:rsid w:val="00762A7E"/>
    <w:rsid w:val="00762D41"/>
    <w:rsid w:val="00765781"/>
    <w:rsid w:val="00767DB7"/>
    <w:rsid w:val="00775924"/>
    <w:rsid w:val="00785EDC"/>
    <w:rsid w:val="007907F0"/>
    <w:rsid w:val="00793CE3"/>
    <w:rsid w:val="007B1809"/>
    <w:rsid w:val="007C5897"/>
    <w:rsid w:val="007C674A"/>
    <w:rsid w:val="007D54A1"/>
    <w:rsid w:val="007E3A48"/>
    <w:rsid w:val="007E71E4"/>
    <w:rsid w:val="007F1EFF"/>
    <w:rsid w:val="007F1F42"/>
    <w:rsid w:val="00803DEA"/>
    <w:rsid w:val="008046BE"/>
    <w:rsid w:val="00813D67"/>
    <w:rsid w:val="00814360"/>
    <w:rsid w:val="00815AF7"/>
    <w:rsid w:val="00820583"/>
    <w:rsid w:val="00824CA9"/>
    <w:rsid w:val="00825AAE"/>
    <w:rsid w:val="0082702D"/>
    <w:rsid w:val="00835066"/>
    <w:rsid w:val="00836989"/>
    <w:rsid w:val="00836CAE"/>
    <w:rsid w:val="00842F7F"/>
    <w:rsid w:val="008440EA"/>
    <w:rsid w:val="00847EDA"/>
    <w:rsid w:val="00851D60"/>
    <w:rsid w:val="00852D56"/>
    <w:rsid w:val="00857580"/>
    <w:rsid w:val="0086384A"/>
    <w:rsid w:val="0086610B"/>
    <w:rsid w:val="00867F31"/>
    <w:rsid w:val="00870A19"/>
    <w:rsid w:val="00875C91"/>
    <w:rsid w:val="00883CFC"/>
    <w:rsid w:val="008875CA"/>
    <w:rsid w:val="008946CD"/>
    <w:rsid w:val="008A1F36"/>
    <w:rsid w:val="008A208C"/>
    <w:rsid w:val="008B0D9E"/>
    <w:rsid w:val="008B738C"/>
    <w:rsid w:val="008C0368"/>
    <w:rsid w:val="008C727B"/>
    <w:rsid w:val="008D013D"/>
    <w:rsid w:val="008D1615"/>
    <w:rsid w:val="008D7C9B"/>
    <w:rsid w:val="008E48C0"/>
    <w:rsid w:val="008F0F0D"/>
    <w:rsid w:val="008F4D4C"/>
    <w:rsid w:val="00911446"/>
    <w:rsid w:val="00914796"/>
    <w:rsid w:val="00914C72"/>
    <w:rsid w:val="00922DB5"/>
    <w:rsid w:val="009237CA"/>
    <w:rsid w:val="00923DA4"/>
    <w:rsid w:val="00924558"/>
    <w:rsid w:val="009451F4"/>
    <w:rsid w:val="00946E33"/>
    <w:rsid w:val="00952877"/>
    <w:rsid w:val="00953FE0"/>
    <w:rsid w:val="0095540C"/>
    <w:rsid w:val="00955974"/>
    <w:rsid w:val="00960C3D"/>
    <w:rsid w:val="00966DFB"/>
    <w:rsid w:val="0097227E"/>
    <w:rsid w:val="00974B39"/>
    <w:rsid w:val="009756D7"/>
    <w:rsid w:val="00986BE3"/>
    <w:rsid w:val="00990625"/>
    <w:rsid w:val="0099559E"/>
    <w:rsid w:val="00996556"/>
    <w:rsid w:val="009972EB"/>
    <w:rsid w:val="009A02C3"/>
    <w:rsid w:val="009A6D7C"/>
    <w:rsid w:val="009B0868"/>
    <w:rsid w:val="009C0ADD"/>
    <w:rsid w:val="009C4461"/>
    <w:rsid w:val="009C56BC"/>
    <w:rsid w:val="009D0C17"/>
    <w:rsid w:val="009E70AA"/>
    <w:rsid w:val="009F281F"/>
    <w:rsid w:val="00A073EB"/>
    <w:rsid w:val="00A11B11"/>
    <w:rsid w:val="00A123D9"/>
    <w:rsid w:val="00A1445C"/>
    <w:rsid w:val="00A1555A"/>
    <w:rsid w:val="00A15958"/>
    <w:rsid w:val="00A26CDD"/>
    <w:rsid w:val="00A3192E"/>
    <w:rsid w:val="00A36302"/>
    <w:rsid w:val="00A413D7"/>
    <w:rsid w:val="00A41430"/>
    <w:rsid w:val="00A61E65"/>
    <w:rsid w:val="00A67124"/>
    <w:rsid w:val="00A737E7"/>
    <w:rsid w:val="00A747AC"/>
    <w:rsid w:val="00A75ACD"/>
    <w:rsid w:val="00A80FE6"/>
    <w:rsid w:val="00A82041"/>
    <w:rsid w:val="00A829E3"/>
    <w:rsid w:val="00AA4651"/>
    <w:rsid w:val="00AB16C7"/>
    <w:rsid w:val="00AB4631"/>
    <w:rsid w:val="00AC2A8A"/>
    <w:rsid w:val="00AC716B"/>
    <w:rsid w:val="00AD36E0"/>
    <w:rsid w:val="00AD5895"/>
    <w:rsid w:val="00AE0D32"/>
    <w:rsid w:val="00AE5DC2"/>
    <w:rsid w:val="00AE6458"/>
    <w:rsid w:val="00AE67EF"/>
    <w:rsid w:val="00AE7D4D"/>
    <w:rsid w:val="00AF11CF"/>
    <w:rsid w:val="00B133DB"/>
    <w:rsid w:val="00B2173A"/>
    <w:rsid w:val="00B24B04"/>
    <w:rsid w:val="00B279F6"/>
    <w:rsid w:val="00B300DD"/>
    <w:rsid w:val="00B32581"/>
    <w:rsid w:val="00B351EC"/>
    <w:rsid w:val="00B3558A"/>
    <w:rsid w:val="00B3632F"/>
    <w:rsid w:val="00B445DB"/>
    <w:rsid w:val="00B503A1"/>
    <w:rsid w:val="00B503A9"/>
    <w:rsid w:val="00B5073E"/>
    <w:rsid w:val="00B51069"/>
    <w:rsid w:val="00B52CC9"/>
    <w:rsid w:val="00B5313D"/>
    <w:rsid w:val="00B53722"/>
    <w:rsid w:val="00B564E3"/>
    <w:rsid w:val="00B61090"/>
    <w:rsid w:val="00B62C37"/>
    <w:rsid w:val="00B6323A"/>
    <w:rsid w:val="00B64706"/>
    <w:rsid w:val="00B8074D"/>
    <w:rsid w:val="00B83150"/>
    <w:rsid w:val="00B91A10"/>
    <w:rsid w:val="00B93667"/>
    <w:rsid w:val="00B948F9"/>
    <w:rsid w:val="00B958AA"/>
    <w:rsid w:val="00BB2A2C"/>
    <w:rsid w:val="00BB61D6"/>
    <w:rsid w:val="00BB7B50"/>
    <w:rsid w:val="00BC01EF"/>
    <w:rsid w:val="00BC1353"/>
    <w:rsid w:val="00BC497D"/>
    <w:rsid w:val="00BD0DC7"/>
    <w:rsid w:val="00BE4291"/>
    <w:rsid w:val="00BF0643"/>
    <w:rsid w:val="00BF097B"/>
    <w:rsid w:val="00BF4859"/>
    <w:rsid w:val="00C01A35"/>
    <w:rsid w:val="00C10151"/>
    <w:rsid w:val="00C20EE8"/>
    <w:rsid w:val="00C2120F"/>
    <w:rsid w:val="00C23647"/>
    <w:rsid w:val="00C310CC"/>
    <w:rsid w:val="00C45056"/>
    <w:rsid w:val="00C4522F"/>
    <w:rsid w:val="00C50474"/>
    <w:rsid w:val="00C5367B"/>
    <w:rsid w:val="00C60897"/>
    <w:rsid w:val="00C6210B"/>
    <w:rsid w:val="00C62CEA"/>
    <w:rsid w:val="00C75BF8"/>
    <w:rsid w:val="00C76851"/>
    <w:rsid w:val="00C84296"/>
    <w:rsid w:val="00C860A0"/>
    <w:rsid w:val="00C94661"/>
    <w:rsid w:val="00C97D16"/>
    <w:rsid w:val="00CA1F45"/>
    <w:rsid w:val="00CA2109"/>
    <w:rsid w:val="00CA3FA3"/>
    <w:rsid w:val="00CA69C2"/>
    <w:rsid w:val="00CA6F06"/>
    <w:rsid w:val="00CA77CD"/>
    <w:rsid w:val="00CB7C46"/>
    <w:rsid w:val="00CC2A76"/>
    <w:rsid w:val="00CD0B56"/>
    <w:rsid w:val="00CD1BE3"/>
    <w:rsid w:val="00CD5C47"/>
    <w:rsid w:val="00CD78D2"/>
    <w:rsid w:val="00CE2DEF"/>
    <w:rsid w:val="00CE43F0"/>
    <w:rsid w:val="00CE4E73"/>
    <w:rsid w:val="00CF1BDC"/>
    <w:rsid w:val="00CF319F"/>
    <w:rsid w:val="00CF5044"/>
    <w:rsid w:val="00D01DD0"/>
    <w:rsid w:val="00D06429"/>
    <w:rsid w:val="00D118C8"/>
    <w:rsid w:val="00D17176"/>
    <w:rsid w:val="00D26BA6"/>
    <w:rsid w:val="00D30592"/>
    <w:rsid w:val="00D306D8"/>
    <w:rsid w:val="00D37451"/>
    <w:rsid w:val="00D37556"/>
    <w:rsid w:val="00D41859"/>
    <w:rsid w:val="00D53EAD"/>
    <w:rsid w:val="00D5582E"/>
    <w:rsid w:val="00D658AC"/>
    <w:rsid w:val="00D70840"/>
    <w:rsid w:val="00D81D41"/>
    <w:rsid w:val="00D826E2"/>
    <w:rsid w:val="00D84635"/>
    <w:rsid w:val="00D86891"/>
    <w:rsid w:val="00D90EB6"/>
    <w:rsid w:val="00D9197E"/>
    <w:rsid w:val="00D9741F"/>
    <w:rsid w:val="00DA0C0B"/>
    <w:rsid w:val="00DA158A"/>
    <w:rsid w:val="00DA29B5"/>
    <w:rsid w:val="00DA7BA6"/>
    <w:rsid w:val="00DB1CB1"/>
    <w:rsid w:val="00DB250B"/>
    <w:rsid w:val="00DB5808"/>
    <w:rsid w:val="00DB7A8D"/>
    <w:rsid w:val="00DC20E4"/>
    <w:rsid w:val="00DD199C"/>
    <w:rsid w:val="00DD20BE"/>
    <w:rsid w:val="00DD6CCC"/>
    <w:rsid w:val="00DD7035"/>
    <w:rsid w:val="00DE1A0F"/>
    <w:rsid w:val="00DE2AC8"/>
    <w:rsid w:val="00DE2E3B"/>
    <w:rsid w:val="00DE2F5F"/>
    <w:rsid w:val="00DF1BBF"/>
    <w:rsid w:val="00DF250F"/>
    <w:rsid w:val="00DF3316"/>
    <w:rsid w:val="00E02FBA"/>
    <w:rsid w:val="00E139E7"/>
    <w:rsid w:val="00E14715"/>
    <w:rsid w:val="00E173FB"/>
    <w:rsid w:val="00E2273A"/>
    <w:rsid w:val="00E23708"/>
    <w:rsid w:val="00E2637B"/>
    <w:rsid w:val="00E3208B"/>
    <w:rsid w:val="00E32271"/>
    <w:rsid w:val="00E33696"/>
    <w:rsid w:val="00E349B4"/>
    <w:rsid w:val="00E35DD6"/>
    <w:rsid w:val="00E41EF2"/>
    <w:rsid w:val="00E44378"/>
    <w:rsid w:val="00E44FDE"/>
    <w:rsid w:val="00E56A44"/>
    <w:rsid w:val="00E6354C"/>
    <w:rsid w:val="00E6674C"/>
    <w:rsid w:val="00E705B3"/>
    <w:rsid w:val="00E70602"/>
    <w:rsid w:val="00E70C4A"/>
    <w:rsid w:val="00E7324F"/>
    <w:rsid w:val="00E745A6"/>
    <w:rsid w:val="00E77971"/>
    <w:rsid w:val="00E80572"/>
    <w:rsid w:val="00E82219"/>
    <w:rsid w:val="00E832A5"/>
    <w:rsid w:val="00E84C12"/>
    <w:rsid w:val="00E86356"/>
    <w:rsid w:val="00E91BC7"/>
    <w:rsid w:val="00E95A3F"/>
    <w:rsid w:val="00E967FE"/>
    <w:rsid w:val="00E96D8C"/>
    <w:rsid w:val="00EA0524"/>
    <w:rsid w:val="00EA1423"/>
    <w:rsid w:val="00EA5727"/>
    <w:rsid w:val="00EB1DE0"/>
    <w:rsid w:val="00EC08B4"/>
    <w:rsid w:val="00EC58D2"/>
    <w:rsid w:val="00EE0034"/>
    <w:rsid w:val="00EE1F31"/>
    <w:rsid w:val="00EE2050"/>
    <w:rsid w:val="00EE2FF6"/>
    <w:rsid w:val="00EF487C"/>
    <w:rsid w:val="00F03B18"/>
    <w:rsid w:val="00F05D69"/>
    <w:rsid w:val="00F0738B"/>
    <w:rsid w:val="00F1421D"/>
    <w:rsid w:val="00F207E7"/>
    <w:rsid w:val="00F219DD"/>
    <w:rsid w:val="00F237A6"/>
    <w:rsid w:val="00F261A6"/>
    <w:rsid w:val="00F309AE"/>
    <w:rsid w:val="00F405FD"/>
    <w:rsid w:val="00F43056"/>
    <w:rsid w:val="00F479A6"/>
    <w:rsid w:val="00F5679B"/>
    <w:rsid w:val="00F57AAD"/>
    <w:rsid w:val="00F62AB2"/>
    <w:rsid w:val="00F66852"/>
    <w:rsid w:val="00F70F77"/>
    <w:rsid w:val="00F81B12"/>
    <w:rsid w:val="00F81B27"/>
    <w:rsid w:val="00F84672"/>
    <w:rsid w:val="00F84C49"/>
    <w:rsid w:val="00F93F06"/>
    <w:rsid w:val="00F961C3"/>
    <w:rsid w:val="00F97266"/>
    <w:rsid w:val="00F9757A"/>
    <w:rsid w:val="00F975CC"/>
    <w:rsid w:val="00FA27CD"/>
    <w:rsid w:val="00FA3017"/>
    <w:rsid w:val="00FB04D4"/>
    <w:rsid w:val="00FB05DA"/>
    <w:rsid w:val="00FB1FFA"/>
    <w:rsid w:val="00FB4DB9"/>
    <w:rsid w:val="00FC55CC"/>
    <w:rsid w:val="00FC75D9"/>
    <w:rsid w:val="00FD043D"/>
    <w:rsid w:val="00FD051D"/>
    <w:rsid w:val="00FD2755"/>
    <w:rsid w:val="00FE4C91"/>
    <w:rsid w:val="00FE69B6"/>
    <w:rsid w:val="00FE7F31"/>
    <w:rsid w:val="00FF42C2"/>
    <w:rsid w:val="00FF7FB9"/>
    <w:rsid w:val="04A04403"/>
    <w:rsid w:val="0DFD613E"/>
    <w:rsid w:val="32232ED1"/>
    <w:rsid w:val="497928BA"/>
    <w:rsid w:val="64663948"/>
    <w:rsid w:val="699A0CCB"/>
    <w:rsid w:val="75921B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0"/>
    <w:qFormat/>
    <w:uiPriority w:val="9"/>
    <w:pPr>
      <w:widowControl/>
      <w:spacing w:before="100" w:beforeAutospacing="1" w:after="100" w:afterAutospacing="1"/>
      <w:jc w:val="left"/>
      <w:outlineLvl w:val="1"/>
    </w:pPr>
    <w:rPr>
      <w:rFonts w:ascii="宋体" w:hAnsi="宋体" w:cs="宋体"/>
      <w:b/>
      <w:bCs/>
      <w:kern w:val="0"/>
      <w:sz w:val="36"/>
      <w:szCs w:val="36"/>
    </w:rPr>
  </w:style>
  <w:style w:type="character" w:default="1" w:styleId="9">
    <w:name w:val="Default Paragraph Font"/>
    <w:unhideWhenUsed/>
    <w:qFormat/>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3">
    <w:name w:val="Date"/>
    <w:basedOn w:val="1"/>
    <w:next w:val="1"/>
    <w:qFormat/>
    <w:uiPriority w:val="0"/>
    <w:pPr>
      <w:ind w:left="100" w:leftChars="2500"/>
    </w:pPr>
  </w:style>
  <w:style w:type="paragraph" w:styleId="4">
    <w:name w:val="footer"/>
    <w:basedOn w:val="1"/>
    <w:link w:val="15"/>
    <w:qFormat/>
    <w:uiPriority w:val="0"/>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HTML Preformatted"/>
    <w:basedOn w:val="1"/>
    <w:link w:val="2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8">
    <w:name w:val="Title"/>
    <w:basedOn w:val="1"/>
    <w:next w:val="1"/>
    <w:link w:val="18"/>
    <w:qFormat/>
    <w:uiPriority w:val="10"/>
    <w:pPr>
      <w:spacing w:before="240" w:after="60"/>
      <w:jc w:val="center"/>
      <w:outlineLvl w:val="0"/>
    </w:pPr>
    <w:rPr>
      <w:rFonts w:ascii="Calibri Light" w:hAnsi="Calibri Light"/>
      <w:b/>
      <w:bCs/>
      <w:kern w:val="0"/>
      <w:sz w:val="32"/>
      <w:szCs w:val="32"/>
    </w:rPr>
  </w:style>
  <w:style w:type="character" w:styleId="10">
    <w:name w:val="Strong"/>
    <w:basedOn w:val="9"/>
    <w:qFormat/>
    <w:uiPriority w:val="22"/>
    <w:rPr>
      <w:b/>
      <w:bCs/>
    </w:rPr>
  </w:style>
  <w:style w:type="character" w:styleId="11">
    <w:name w:val="page number"/>
    <w:basedOn w:val="9"/>
    <w:qFormat/>
    <w:uiPriority w:val="0"/>
  </w:style>
  <w:style w:type="table" w:styleId="13">
    <w:name w:val="Table Grid"/>
    <w:basedOn w:val="1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4">
    <w:name w:val="页眉 Char"/>
    <w:basedOn w:val="9"/>
    <w:link w:val="5"/>
    <w:qFormat/>
    <w:uiPriority w:val="0"/>
    <w:rPr>
      <w:kern w:val="2"/>
      <w:sz w:val="18"/>
      <w:szCs w:val="18"/>
    </w:rPr>
  </w:style>
  <w:style w:type="character" w:customStyle="1" w:styleId="15">
    <w:name w:val="页脚 Char"/>
    <w:basedOn w:val="9"/>
    <w:link w:val="4"/>
    <w:qFormat/>
    <w:uiPriority w:val="0"/>
    <w:rPr>
      <w:kern w:val="2"/>
      <w:sz w:val="18"/>
      <w:szCs w:val="18"/>
    </w:rPr>
  </w:style>
  <w:style w:type="paragraph" w:customStyle="1" w:styleId="16">
    <w:name w:val="List Paragraph"/>
    <w:basedOn w:val="1"/>
    <w:qFormat/>
    <w:uiPriority w:val="99"/>
    <w:pPr>
      <w:ind w:firstLine="420" w:firstLineChars="200"/>
    </w:pPr>
    <w:rPr>
      <w:rFonts w:ascii="Calibri" w:hAnsi="Calibri" w:cs="Calibri"/>
      <w:szCs w:val="21"/>
    </w:rPr>
  </w:style>
  <w:style w:type="paragraph" w:customStyle="1" w:styleId="17">
    <w:name w:val="列出段落1"/>
    <w:basedOn w:val="1"/>
    <w:qFormat/>
    <w:uiPriority w:val="0"/>
    <w:pPr>
      <w:ind w:firstLine="420" w:firstLineChars="200"/>
    </w:pPr>
    <w:rPr>
      <w:rFonts w:ascii="Calibri" w:hAnsi="Calibri"/>
      <w:szCs w:val="22"/>
    </w:rPr>
  </w:style>
  <w:style w:type="character" w:customStyle="1" w:styleId="18">
    <w:name w:val="标题 Char"/>
    <w:basedOn w:val="9"/>
    <w:link w:val="8"/>
    <w:qFormat/>
    <w:uiPriority w:val="10"/>
    <w:rPr>
      <w:rFonts w:ascii="Calibri Light" w:hAnsi="Calibri Light"/>
      <w:b/>
      <w:bCs/>
      <w:sz w:val="32"/>
      <w:szCs w:val="32"/>
    </w:rPr>
  </w:style>
  <w:style w:type="paragraph" w:customStyle="1" w:styleId="19">
    <w:name w:val="列出段落11"/>
    <w:basedOn w:val="1"/>
    <w:qFormat/>
    <w:uiPriority w:val="34"/>
    <w:pPr>
      <w:ind w:firstLine="420" w:firstLineChars="200"/>
    </w:pPr>
    <w:rPr>
      <w:rFonts w:ascii="Calibri" w:hAnsi="Calibri"/>
      <w:szCs w:val="22"/>
    </w:rPr>
  </w:style>
  <w:style w:type="character" w:customStyle="1" w:styleId="20">
    <w:name w:val="标题 2 Char"/>
    <w:basedOn w:val="9"/>
    <w:link w:val="2"/>
    <w:qFormat/>
    <w:uiPriority w:val="9"/>
    <w:rPr>
      <w:rFonts w:ascii="宋体" w:hAnsi="宋体" w:cs="宋体"/>
      <w:b/>
      <w:bCs/>
      <w:sz w:val="36"/>
      <w:szCs w:val="36"/>
    </w:rPr>
  </w:style>
  <w:style w:type="character" w:customStyle="1" w:styleId="21">
    <w:name w:val="HTML 预设格式 Char"/>
    <w:qFormat/>
    <w:uiPriority w:val="99"/>
    <w:rPr>
      <w:rFonts w:ascii="宋体" w:hAnsi="宋体" w:cs="宋体"/>
      <w:sz w:val="24"/>
      <w:szCs w:val="24"/>
    </w:rPr>
  </w:style>
  <w:style w:type="character" w:customStyle="1" w:styleId="22">
    <w:name w:val="HTML 预设格式 Char1"/>
    <w:basedOn w:val="9"/>
    <w:link w:val="6"/>
    <w:qFormat/>
    <w:uiPriority w:val="0"/>
    <w:rPr>
      <w:rFonts w:ascii="Courier New" w:hAnsi="Courier New" w:cs="Courier New"/>
      <w:kern w:val="2"/>
    </w:rPr>
  </w:style>
  <w:style w:type="paragraph" w:customStyle="1" w:styleId="23">
    <w:name w:val="列出段落2"/>
    <w:basedOn w:val="1"/>
    <w:qFormat/>
    <w:uiPriority w:val="0"/>
    <w:pPr>
      <w:ind w:firstLine="420" w:firstLineChars="200"/>
    </w:pPr>
    <w:rPr>
      <w:rFonts w:ascii="Calibri" w:hAnsi="Calibri" w:cs="黑体"/>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AAF475-A811-439E-B495-6018BB58C3F2}">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18</Pages>
  <Words>1138</Words>
  <Characters>6488</Characters>
  <Lines>54</Lines>
  <Paragraphs>15</Paragraphs>
  <TotalTime>12</TotalTime>
  <ScaleCrop>false</ScaleCrop>
  <LinksUpToDate>false</LinksUpToDate>
  <CharactersWithSpaces>7611</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2020-09-07T03:12:00Z</dcterms:created>
  <dc:creator>微软用户</dc:creator>
  <cp:lastModifiedBy>田苗</cp:lastModifiedBy>
  <cp:lastPrinted>2020-09-16T03:31:00Z</cp:lastPrinted>
  <dcterms:modified xsi:type="dcterms:W3CDTF">2020-09-16T07:07:36Z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