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eastAsia="zh-CN"/>
        </w:rPr>
      </w:pPr>
      <w:r>
        <w:rPr>
          <w:rFonts w:hint="eastAsia" w:ascii="华文中宋" w:hAnsi="华文中宋" w:eastAsia="华文中宋" w:cs="华文中宋"/>
          <w:b/>
          <w:bCs/>
          <w:color w:val="000000"/>
          <w:sz w:val="30"/>
          <w:szCs w:val="30"/>
          <w:lang w:val="en-US" w:eastAsia="zh-CN"/>
        </w:rPr>
        <w:drawing>
          <wp:anchor distT="0" distB="0" distL="114300" distR="114300" simplePos="0" relativeHeight="251660288" behindDoc="1" locked="0" layoutInCell="1" allowOverlap="1">
            <wp:simplePos x="0" y="0"/>
            <wp:positionH relativeFrom="column">
              <wp:posOffset>-767715</wp:posOffset>
            </wp:positionH>
            <wp:positionV relativeFrom="paragraph">
              <wp:posOffset>-1666875</wp:posOffset>
            </wp:positionV>
            <wp:extent cx="7172960" cy="8867775"/>
            <wp:effectExtent l="0" t="0" r="8890" b="9525"/>
            <wp:wrapNone/>
            <wp:docPr id="1" name="图片 2" descr="红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红头"/>
                    <pic:cNvPicPr>
                      <a:picLocks noChangeAspect="1"/>
                    </pic:cNvPicPr>
                  </pic:nvPicPr>
                  <pic:blipFill>
                    <a:blip r:embed="rId5"/>
                    <a:srcRect l="1999" t="1491" r="3125" b="15572"/>
                    <a:stretch>
                      <a:fillRect/>
                    </a:stretch>
                  </pic:blipFill>
                  <pic:spPr>
                    <a:xfrm>
                      <a:off x="0" y="0"/>
                      <a:ext cx="7172960" cy="8867775"/>
                    </a:xfrm>
                    <a:prstGeom prst="rect">
                      <a:avLst/>
                    </a:prstGeom>
                    <a:noFill/>
                    <a:ln>
                      <a:noFill/>
                    </a:ln>
                  </pic:spPr>
                </pic:pic>
              </a:graphicData>
            </a:graphic>
          </wp:anchor>
        </w:drawing>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eastAsia="zh-CN"/>
        </w:rPr>
      </w:pPr>
    </w:p>
    <w:p>
      <w:pPr>
        <w:keepNext w:val="0"/>
        <w:keepLines w:val="0"/>
        <w:pageBreakBefore w:val="0"/>
        <w:wordWrap/>
        <w:overflowPunct/>
        <w:topLinePunct w:val="0"/>
        <w:bidi w:val="0"/>
        <w:spacing w:line="580" w:lineRule="exact"/>
        <w:jc w:val="center"/>
        <w:rPr>
          <w:rFonts w:hint="default" w:ascii="Times New Roman" w:hAnsi="Times New Roman" w:eastAsia="仿宋" w:cs="Times New Roman"/>
          <w:sz w:val="32"/>
          <w:szCs w:val="32"/>
          <w:lang w:val="en-US" w:eastAsia="zh-CN"/>
        </w:rPr>
      </w:pPr>
      <w:r>
        <w:rPr>
          <w:rFonts w:hint="eastAsia" w:ascii="Times New Roman" w:hAnsi="Times New Roman" w:eastAsia="仿宋" w:cs="Times New Roman"/>
          <w:sz w:val="32"/>
          <w:szCs w:val="32"/>
          <w:lang w:val="en-US" w:eastAsia="zh-CN"/>
        </w:rPr>
        <w:t>川</w:t>
      </w:r>
      <w:r>
        <w:rPr>
          <w:rFonts w:hint="default" w:ascii="Times New Roman" w:hAnsi="Times New Roman" w:eastAsia="仿宋" w:cs="Times New Roman"/>
          <w:sz w:val="32"/>
          <w:szCs w:val="32"/>
          <w:lang w:val="en-US" w:eastAsia="zh-CN"/>
        </w:rPr>
        <w:t>公管委发〔2023〕</w:t>
      </w:r>
      <w:r>
        <w:rPr>
          <w:rFonts w:hint="eastAsia" w:ascii="Times New Roman" w:hAnsi="Times New Roman" w:eastAsia="仿宋" w:cs="Times New Roman"/>
          <w:sz w:val="32"/>
          <w:szCs w:val="32"/>
          <w:lang w:val="en-US" w:eastAsia="zh-CN"/>
        </w:rPr>
        <w:t>3</w:t>
      </w:r>
      <w:r>
        <w:rPr>
          <w:rFonts w:hint="default" w:ascii="Times New Roman" w:hAnsi="Times New Roman" w:eastAsia="仿宋" w:cs="Times New Roman"/>
          <w:sz w:val="32"/>
          <w:szCs w:val="32"/>
          <w:lang w:val="en-US" w:eastAsia="zh-CN"/>
        </w:rPr>
        <w:t>号</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eastAsia="zh-CN"/>
        </w:rPr>
      </w:pPr>
    </w:p>
    <w:p>
      <w:pPr>
        <w:keepNext w:val="0"/>
        <w:keepLines w:val="0"/>
        <w:pageBreakBefore w:val="0"/>
        <w:wordWrap/>
        <w:overflowPunct/>
        <w:topLinePunct w:val="0"/>
        <w:bidi w:val="0"/>
        <w:spacing w:line="580" w:lineRule="exact"/>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市公共资源交易管理委员会</w:t>
      </w:r>
    </w:p>
    <w:p>
      <w:pPr>
        <w:keepNext w:val="0"/>
        <w:keepLines w:val="0"/>
        <w:pageBreakBefore w:val="0"/>
        <w:wordWrap/>
        <w:overflowPunct/>
        <w:topLinePunct w:val="0"/>
        <w:bidi w:val="0"/>
        <w:spacing w:line="580" w:lineRule="exact"/>
        <w:jc w:val="center"/>
        <w:rPr>
          <w:rFonts w:hint="default" w:ascii="Times New Roman" w:hAnsi="Times New Roman" w:eastAsia="黑体" w:cs="Times New Roman"/>
          <w:sz w:val="44"/>
          <w:szCs w:val="44"/>
          <w:lang w:val="en-US" w:eastAsia="zh-CN"/>
        </w:rPr>
      </w:pPr>
      <w:r>
        <w:rPr>
          <w:rFonts w:hint="eastAsia" w:ascii="方正小标宋简体" w:hAnsi="方正小标宋简体" w:eastAsia="方正小标宋简体" w:cs="方正小标宋简体"/>
          <w:sz w:val="44"/>
          <w:szCs w:val="44"/>
          <w:lang w:val="en-US" w:eastAsia="zh-CN"/>
        </w:rPr>
        <w:t>关于印发《汉川市公共资源交易综合监管联动执法工作实施方案》的通知</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0" w:firstLineChars="0"/>
        <w:jc w:val="center"/>
        <w:textAlignment w:val="auto"/>
        <w:outlineLvl w:val="9"/>
        <w:rPr>
          <w:rFonts w:hint="eastAsia" w:ascii="楷体" w:hAnsi="楷体" w:eastAsia="楷体" w:cs="楷体"/>
          <w:sz w:val="32"/>
          <w:szCs w:val="32"/>
          <w:lang w:val="en-US" w:eastAsia="zh-CN"/>
        </w:rPr>
      </w:pPr>
    </w:p>
    <w:p>
      <w:pPr>
        <w:keepNext w:val="0"/>
        <w:keepLines w:val="0"/>
        <w:pageBreakBefore w:val="0"/>
        <w:kinsoku/>
        <w:wordWrap/>
        <w:overflowPunct/>
        <w:topLinePunct w:val="0"/>
        <w:autoSpaceDE/>
        <w:autoSpaceDN/>
        <w:bidi w:val="0"/>
        <w:spacing w:line="580" w:lineRule="exact"/>
        <w:jc w:val="left"/>
        <w:textAlignment w:val="auto"/>
        <w:rPr>
          <w:rFonts w:hint="eastAsia" w:ascii="仿宋" w:hAnsi="仿宋" w:eastAsia="仿宋" w:cs="仿宋"/>
          <w:sz w:val="32"/>
          <w:szCs w:val="32"/>
          <w:lang w:val="en-US" w:eastAsia="zh-CN"/>
        </w:rPr>
      </w:pPr>
    </w:p>
    <w:p>
      <w:pPr>
        <w:keepNext w:val="0"/>
        <w:keepLines w:val="0"/>
        <w:pageBreakBefore w:val="0"/>
        <w:kinsoku/>
        <w:wordWrap/>
        <w:overflowPunct/>
        <w:topLinePunct w:val="0"/>
        <w:autoSpaceDE/>
        <w:autoSpaceDN/>
        <w:bidi w:val="0"/>
        <w:spacing w:line="580" w:lineRule="exact"/>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市公共资源交易管理委员会各成员单位：</w:t>
      </w:r>
    </w:p>
    <w:p>
      <w:pPr>
        <w:keepNext w:val="0"/>
        <w:keepLines w:val="0"/>
        <w:pageBreakBefore w:val="0"/>
        <w:kinsoku/>
        <w:wordWrap/>
        <w:overflowPunct/>
        <w:topLinePunct w:val="0"/>
        <w:autoSpaceDE/>
        <w:autoSpaceDN/>
        <w:bidi w:val="0"/>
        <w:spacing w:line="580" w:lineRule="exact"/>
        <w:ind w:firstLine="640"/>
        <w:jc w:val="left"/>
        <w:textAlignment w:val="auto"/>
        <w:rPr>
          <w:rFonts w:hint="eastAsia" w:ascii="仿宋" w:hAnsi="仿宋" w:eastAsia="仿宋" w:cs="仿宋"/>
          <w:sz w:val="32"/>
          <w:szCs w:val="32"/>
          <w:lang w:val="en-US" w:eastAsia="zh-CN"/>
        </w:rPr>
      </w:pPr>
      <w:r>
        <w:rPr>
          <w:rFonts w:hint="eastAsia" w:ascii="Times New Roman" w:hAnsi="Times New Roman" w:eastAsia="仿宋_GB2312"/>
          <w:color w:val="auto"/>
          <w:sz w:val="32"/>
          <w:szCs w:val="32"/>
          <w:lang w:eastAsia="zh-CN"/>
        </w:rPr>
        <w:t>现将</w:t>
      </w:r>
      <w:r>
        <w:rPr>
          <w:rFonts w:hint="eastAsia" w:ascii="Times New Roman" w:hAnsi="Times New Roman" w:eastAsia="仿宋_GB2312"/>
          <w:color w:val="auto"/>
          <w:sz w:val="32"/>
          <w:szCs w:val="32"/>
          <w:lang w:val="en-US" w:eastAsia="zh-CN"/>
        </w:rPr>
        <w:t>《 汉川市公共资源交易综合监管联动执法工作实施方案》</w:t>
      </w:r>
      <w:r>
        <w:rPr>
          <w:rFonts w:hint="eastAsia" w:ascii="仿宋" w:hAnsi="仿宋" w:eastAsia="仿宋" w:cs="仿宋"/>
          <w:sz w:val="32"/>
          <w:szCs w:val="32"/>
          <w:lang w:val="en-US" w:eastAsia="zh-CN"/>
        </w:rPr>
        <w:t>印发你们，请结合实际，认真组织实施。</w:t>
      </w:r>
    </w:p>
    <w:p>
      <w:pPr>
        <w:keepNext w:val="0"/>
        <w:keepLines w:val="0"/>
        <w:pageBreakBefore w:val="0"/>
        <w:kinsoku/>
        <w:wordWrap/>
        <w:overflowPunct/>
        <w:topLinePunct w:val="0"/>
        <w:autoSpaceDE/>
        <w:autoSpaceDN/>
        <w:bidi w:val="0"/>
        <w:spacing w:line="580" w:lineRule="exact"/>
        <w:ind w:firstLine="640"/>
        <w:jc w:val="left"/>
        <w:textAlignment w:val="auto"/>
        <w:rPr>
          <w:rFonts w:hint="eastAsia" w:ascii="仿宋" w:hAnsi="仿宋" w:eastAsia="仿宋" w:cs="仿宋"/>
          <w:sz w:val="32"/>
          <w:szCs w:val="32"/>
          <w:lang w:val="en-US" w:eastAsia="zh-CN"/>
        </w:rPr>
      </w:pPr>
    </w:p>
    <w:p>
      <w:pPr>
        <w:pStyle w:val="2"/>
        <w:rPr>
          <w:rFonts w:hint="eastAsia"/>
          <w:lang w:val="en-US" w:eastAsia="zh-CN"/>
        </w:rPr>
      </w:pPr>
    </w:p>
    <w:p>
      <w:pPr>
        <w:keepNext w:val="0"/>
        <w:keepLines w:val="0"/>
        <w:pageBreakBefore w:val="0"/>
        <w:kinsoku/>
        <w:wordWrap/>
        <w:overflowPunct/>
        <w:topLinePunct w:val="0"/>
        <w:autoSpaceDE/>
        <w:autoSpaceDN/>
        <w:bidi w:val="0"/>
        <w:spacing w:line="580" w:lineRule="exact"/>
        <w:ind w:firstLine="64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w:t>
      </w:r>
      <w:r>
        <w:rPr>
          <w:rFonts w:hint="eastAsia" w:ascii="仿宋_GB2312" w:hAnsi="仿宋_GB2312" w:eastAsia="仿宋_GB2312" w:cs="仿宋_GB2312"/>
          <w:sz w:val="32"/>
          <w:szCs w:val="32"/>
          <w:lang w:val="en-US" w:eastAsia="zh-CN"/>
        </w:rPr>
        <w:t xml:space="preserve">  </w:t>
      </w:r>
      <w:r>
        <w:rPr>
          <w:rFonts w:hint="eastAsia" w:ascii="仿宋" w:hAnsi="仿宋" w:eastAsia="仿宋" w:cs="仿宋"/>
          <w:sz w:val="32"/>
          <w:szCs w:val="32"/>
          <w:lang w:val="en-US" w:eastAsia="zh-CN"/>
        </w:rPr>
        <w:t>汉川市公共资源交易管理委员会</w:t>
      </w:r>
    </w:p>
    <w:p>
      <w:pPr>
        <w:keepNext w:val="0"/>
        <w:keepLines w:val="0"/>
        <w:pageBreakBefore w:val="0"/>
        <w:kinsoku/>
        <w:wordWrap/>
        <w:overflowPunct/>
        <w:topLinePunct w:val="0"/>
        <w:autoSpaceDE/>
        <w:autoSpaceDN/>
        <w:bidi w:val="0"/>
        <w:spacing w:line="580" w:lineRule="exact"/>
        <w:ind w:firstLine="64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2023年6月1日</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val="en-US" w:eastAsia="zh-CN"/>
        </w:rPr>
        <w:t xml:space="preserve">   </w:t>
      </w:r>
      <w:r>
        <w:rPr>
          <w:rFonts w:hint="eastAsia" w:ascii="方正小标宋简体" w:hAnsi="方正小标宋简体" w:eastAsia="方正小标宋简体" w:cs="方正小标宋简体"/>
          <w:sz w:val="44"/>
          <w:szCs w:val="44"/>
          <w:lang w:eastAsia="zh-CN"/>
        </w:rPr>
        <w:t>汉川市</w:t>
      </w:r>
      <w:r>
        <w:rPr>
          <w:rFonts w:hint="eastAsia" w:ascii="方正小标宋简体" w:hAnsi="方正小标宋简体" w:eastAsia="方正小标宋简体" w:cs="方正小标宋简体"/>
          <w:sz w:val="44"/>
          <w:szCs w:val="44"/>
        </w:rPr>
        <w:t>公共资源交易综合监管联动执法</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44"/>
          <w:szCs w:val="44"/>
        </w:rPr>
        <w:t>工作实施方案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为</w:t>
      </w:r>
      <w:r>
        <w:rPr>
          <w:rFonts w:hint="eastAsia" w:ascii="仿宋" w:hAnsi="仿宋" w:eastAsia="仿宋" w:cs="仿宋"/>
          <w:sz w:val="32"/>
          <w:szCs w:val="32"/>
          <w:lang w:eastAsia="zh-CN"/>
        </w:rPr>
        <w:t>贯彻落实省委省政府</w:t>
      </w:r>
      <w:r>
        <w:rPr>
          <w:rFonts w:hint="eastAsia" w:ascii="仿宋" w:hAnsi="仿宋" w:eastAsia="仿宋" w:cs="仿宋"/>
          <w:sz w:val="32"/>
          <w:szCs w:val="32"/>
        </w:rPr>
        <w:t>贯彻落实《优化营商环境条例》</w:t>
      </w:r>
      <w:r>
        <w:rPr>
          <w:rFonts w:hint="eastAsia" w:ascii="仿宋" w:hAnsi="仿宋" w:eastAsia="仿宋" w:cs="仿宋"/>
          <w:sz w:val="32"/>
          <w:szCs w:val="32"/>
          <w:lang w:eastAsia="zh-CN"/>
        </w:rPr>
        <w:t>、</w:t>
      </w:r>
      <w:r>
        <w:rPr>
          <w:rFonts w:hint="eastAsia" w:ascii="仿宋" w:hAnsi="仿宋" w:eastAsia="仿宋" w:cs="仿宋"/>
          <w:sz w:val="32"/>
          <w:szCs w:val="32"/>
        </w:rPr>
        <w:t>《湖北省优化营商环境办法》和省</w:t>
      </w:r>
      <w:r>
        <w:rPr>
          <w:rFonts w:hint="eastAsia" w:ascii="仿宋" w:hAnsi="仿宋" w:eastAsia="仿宋" w:cs="仿宋"/>
          <w:sz w:val="32"/>
          <w:szCs w:val="32"/>
          <w:lang w:eastAsia="zh-CN"/>
        </w:rPr>
        <w:t>市</w:t>
      </w:r>
      <w:r>
        <w:rPr>
          <w:rFonts w:hint="eastAsia" w:ascii="仿宋" w:hAnsi="仿宋" w:eastAsia="仿宋" w:cs="仿宋"/>
          <w:sz w:val="32"/>
          <w:szCs w:val="32"/>
        </w:rPr>
        <w:t>有关优化招投标营商环境精神，进一步加强</w:t>
      </w:r>
      <w:r>
        <w:rPr>
          <w:rFonts w:hint="eastAsia" w:ascii="仿宋" w:hAnsi="仿宋" w:eastAsia="仿宋" w:cs="仿宋"/>
          <w:sz w:val="32"/>
          <w:szCs w:val="32"/>
          <w:lang w:eastAsia="zh-CN"/>
        </w:rPr>
        <w:t>我市</w:t>
      </w:r>
      <w:r>
        <w:rPr>
          <w:rFonts w:hint="eastAsia" w:ascii="仿宋" w:hAnsi="仿宋" w:eastAsia="仿宋" w:cs="仿宋"/>
          <w:sz w:val="32"/>
          <w:szCs w:val="32"/>
        </w:rPr>
        <w:t>工程建设项目招投标监督管理，全面提升工作效能，构建横向协调、责任明晰的工程建设项目招投标联合监管机制，</w:t>
      </w:r>
      <w:r>
        <w:rPr>
          <w:rFonts w:hint="eastAsia" w:ascii="仿宋" w:hAnsi="仿宋" w:eastAsia="仿宋" w:cs="仿宋"/>
          <w:sz w:val="32"/>
          <w:szCs w:val="32"/>
          <w:lang w:eastAsia="zh-CN"/>
        </w:rPr>
        <w:t>根据《湖北省公共资源交易联动监督管理办法》，</w:t>
      </w:r>
      <w:r>
        <w:rPr>
          <w:rFonts w:hint="eastAsia" w:ascii="仿宋" w:hAnsi="仿宋" w:eastAsia="仿宋" w:cs="仿宋"/>
          <w:sz w:val="32"/>
          <w:szCs w:val="32"/>
        </w:rPr>
        <w:t>结合我</w:t>
      </w:r>
      <w:r>
        <w:rPr>
          <w:rFonts w:hint="eastAsia" w:ascii="仿宋" w:hAnsi="仿宋" w:eastAsia="仿宋" w:cs="仿宋"/>
          <w:sz w:val="32"/>
          <w:szCs w:val="32"/>
          <w:lang w:eastAsia="zh-CN"/>
        </w:rPr>
        <w:t>市</w:t>
      </w:r>
      <w:r>
        <w:rPr>
          <w:rFonts w:hint="eastAsia" w:ascii="仿宋" w:hAnsi="仿宋" w:eastAsia="仿宋" w:cs="仿宋"/>
          <w:sz w:val="32"/>
          <w:szCs w:val="32"/>
        </w:rPr>
        <w:t>实际，制定本实施方案。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lang w:eastAsia="zh-CN"/>
        </w:rPr>
        <w:t>一</w:t>
      </w:r>
      <w:r>
        <w:rPr>
          <w:rFonts w:hint="eastAsia" w:ascii="黑体" w:hAnsi="黑体" w:eastAsia="黑体" w:cs="黑体"/>
          <w:sz w:val="32"/>
          <w:szCs w:val="32"/>
        </w:rPr>
        <w:t>、工作目标</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以优化营商环境改革为契机，建立职责明确、管理有序、分工协作、科学有效、保障有力的</w:t>
      </w:r>
      <w:r>
        <w:rPr>
          <w:rFonts w:hint="eastAsia" w:ascii="仿宋" w:hAnsi="仿宋" w:eastAsia="仿宋" w:cs="仿宋"/>
          <w:sz w:val="32"/>
          <w:szCs w:val="32"/>
          <w:lang w:eastAsia="zh-CN"/>
        </w:rPr>
        <w:t>招投标</w:t>
      </w:r>
      <w:r>
        <w:rPr>
          <w:rFonts w:hint="eastAsia" w:ascii="仿宋" w:hAnsi="仿宋" w:eastAsia="仿宋" w:cs="仿宋"/>
          <w:sz w:val="32"/>
          <w:szCs w:val="32"/>
        </w:rPr>
        <w:t>综合监管制度；整合执法力量，</w:t>
      </w:r>
      <w:r>
        <w:rPr>
          <w:rFonts w:hint="eastAsia" w:ascii="仿宋" w:hAnsi="仿宋" w:eastAsia="仿宋" w:cs="仿宋"/>
          <w:sz w:val="32"/>
          <w:szCs w:val="32"/>
          <w:lang w:eastAsia="zh-CN"/>
        </w:rPr>
        <w:t>建设一支</w:t>
      </w:r>
      <w:r>
        <w:rPr>
          <w:rFonts w:hint="eastAsia" w:ascii="仿宋" w:hAnsi="仿宋" w:eastAsia="仿宋" w:cs="仿宋"/>
          <w:sz w:val="32"/>
          <w:szCs w:val="32"/>
        </w:rPr>
        <w:t>敢于担当、专业高效、统一规范、公正文明的</w:t>
      </w:r>
      <w:r>
        <w:rPr>
          <w:rFonts w:hint="eastAsia" w:ascii="仿宋" w:hAnsi="仿宋" w:eastAsia="仿宋" w:cs="仿宋"/>
          <w:sz w:val="32"/>
          <w:szCs w:val="32"/>
          <w:lang w:eastAsia="zh-CN"/>
        </w:rPr>
        <w:t>招投标</w:t>
      </w:r>
      <w:r>
        <w:rPr>
          <w:rFonts w:hint="eastAsia" w:ascii="仿宋" w:hAnsi="仿宋" w:eastAsia="仿宋" w:cs="仿宋"/>
          <w:sz w:val="32"/>
          <w:szCs w:val="32"/>
        </w:rPr>
        <w:t>监管执法队伍；实现工程建设招投标领域综合监管联动执法法治化、规范化、常态化。</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lang w:eastAsia="zh-CN"/>
        </w:rPr>
        <w:t>二</w:t>
      </w:r>
      <w:r>
        <w:rPr>
          <w:rFonts w:hint="eastAsia" w:ascii="黑体" w:hAnsi="黑体" w:eastAsia="黑体" w:cs="黑体"/>
          <w:sz w:val="32"/>
          <w:szCs w:val="32"/>
        </w:rPr>
        <w:t>、重点任务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(一)办公联席</w:t>
      </w:r>
      <w:r>
        <w:rPr>
          <w:rFonts w:hint="eastAsia" w:ascii="楷体" w:hAnsi="楷体" w:eastAsia="楷体" w:cs="楷体"/>
          <w:sz w:val="32"/>
          <w:szCs w:val="32"/>
          <w:lang w:eastAsia="zh-CN"/>
        </w:rPr>
        <w:t>——</w:t>
      </w:r>
      <w:r>
        <w:rPr>
          <w:rFonts w:hint="eastAsia" w:ascii="楷体" w:hAnsi="楷体" w:eastAsia="楷体" w:cs="楷体"/>
          <w:sz w:val="32"/>
          <w:szCs w:val="32"/>
        </w:rPr>
        <w:t>部门联合，职能统筹。</w:t>
      </w:r>
      <w:r>
        <w:rPr>
          <w:rFonts w:hint="eastAsia" w:ascii="仿宋" w:hAnsi="仿宋" w:eastAsia="仿宋" w:cs="仿宋"/>
          <w:sz w:val="32"/>
          <w:szCs w:val="32"/>
        </w:rPr>
        <w:t>整合各部门专业力量，建立联席办公机制，积极推进公共资源交易综合监管联动执法。</w:t>
      </w:r>
      <w:r>
        <w:rPr>
          <w:rFonts w:hint="eastAsia" w:ascii="仿宋" w:hAnsi="仿宋" w:eastAsia="仿宋" w:cs="仿宋"/>
          <w:sz w:val="32"/>
          <w:szCs w:val="32"/>
          <w:lang w:eastAsia="zh-CN"/>
        </w:rPr>
        <w:t>在汉川市公共资源交易管理委员会下设汉川市</w:t>
      </w:r>
      <w:r>
        <w:rPr>
          <w:rFonts w:hint="eastAsia" w:ascii="仿宋" w:hAnsi="仿宋" w:eastAsia="仿宋" w:cs="仿宋"/>
          <w:sz w:val="32"/>
          <w:szCs w:val="32"/>
        </w:rPr>
        <w:t>公共资源交易综合监管联动执法办公室</w:t>
      </w:r>
      <w:r>
        <w:rPr>
          <w:rFonts w:hint="eastAsia" w:ascii="仿宋" w:hAnsi="仿宋" w:eastAsia="仿宋" w:cs="仿宋"/>
          <w:sz w:val="32"/>
          <w:szCs w:val="32"/>
          <w:lang w:eastAsia="zh-CN"/>
        </w:rPr>
        <w:t>（以下简称“监管办”），办公地点</w:t>
      </w:r>
      <w:r>
        <w:rPr>
          <w:rFonts w:hint="eastAsia" w:ascii="仿宋" w:hAnsi="仿宋" w:eastAsia="仿宋" w:cs="仿宋"/>
          <w:sz w:val="32"/>
          <w:szCs w:val="32"/>
        </w:rPr>
        <w:t>设在</w:t>
      </w:r>
      <w:r>
        <w:rPr>
          <w:rFonts w:hint="eastAsia" w:ascii="仿宋" w:hAnsi="仿宋" w:eastAsia="仿宋" w:cs="仿宋"/>
          <w:sz w:val="32"/>
          <w:szCs w:val="32"/>
          <w:lang w:eastAsia="zh-CN"/>
        </w:rPr>
        <w:t>市</w:t>
      </w:r>
      <w:r>
        <w:rPr>
          <w:rFonts w:hint="eastAsia" w:ascii="仿宋" w:hAnsi="仿宋" w:eastAsia="仿宋" w:cs="仿宋"/>
          <w:sz w:val="32"/>
          <w:szCs w:val="32"/>
        </w:rPr>
        <w:t>公共资源交易监督管理局(</w:t>
      </w:r>
      <w:r>
        <w:rPr>
          <w:rFonts w:hint="eastAsia" w:ascii="仿宋" w:hAnsi="仿宋" w:eastAsia="仿宋" w:cs="仿宋"/>
          <w:sz w:val="32"/>
          <w:szCs w:val="32"/>
          <w:lang w:eastAsia="zh-CN"/>
        </w:rPr>
        <w:t>市</w:t>
      </w:r>
      <w:r>
        <w:rPr>
          <w:rFonts w:hint="eastAsia" w:ascii="仿宋" w:hAnsi="仿宋" w:eastAsia="仿宋" w:cs="仿宋"/>
          <w:sz w:val="32"/>
          <w:szCs w:val="32"/>
        </w:rPr>
        <w:t>政务服务和大数据管理局)，负责建立公共资源交易综合监管联动执法工作机制，日常监管工作的安排部署和案件办理的组织协调。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(二)力量联合</w:t>
      </w:r>
      <w:r>
        <w:rPr>
          <w:rFonts w:hint="eastAsia" w:ascii="楷体" w:hAnsi="楷体" w:eastAsia="楷体" w:cs="楷体"/>
          <w:sz w:val="32"/>
          <w:szCs w:val="32"/>
          <w:lang w:eastAsia="zh-CN"/>
        </w:rPr>
        <w:t>——</w:t>
      </w:r>
      <w:r>
        <w:rPr>
          <w:rFonts w:hint="eastAsia" w:ascii="楷体" w:hAnsi="楷体" w:eastAsia="楷体" w:cs="楷体"/>
          <w:sz w:val="32"/>
          <w:szCs w:val="32"/>
        </w:rPr>
        <w:t>统一队伍，综合调配。</w:t>
      </w:r>
      <w:r>
        <w:rPr>
          <w:rFonts w:hint="eastAsia" w:ascii="仿宋" w:hAnsi="仿宋" w:eastAsia="仿宋" w:cs="仿宋"/>
          <w:sz w:val="32"/>
          <w:szCs w:val="32"/>
        </w:rPr>
        <w:t>综合监管机构联合</w:t>
      </w:r>
      <w:r>
        <w:rPr>
          <w:rFonts w:hint="eastAsia" w:ascii="仿宋" w:hAnsi="仿宋" w:eastAsia="仿宋" w:cs="仿宋"/>
          <w:sz w:val="32"/>
          <w:szCs w:val="32"/>
          <w:lang w:eastAsia="zh-CN"/>
        </w:rPr>
        <w:t>有关</w:t>
      </w:r>
      <w:r>
        <w:rPr>
          <w:rFonts w:hint="eastAsia" w:ascii="仿宋" w:hAnsi="仿宋" w:eastAsia="仿宋" w:cs="仿宋"/>
          <w:sz w:val="32"/>
          <w:szCs w:val="32"/>
        </w:rPr>
        <w:t>行政监督部门，建立相对固定的执法人员库，整合执法力量，统一调配使用。</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sz w:val="32"/>
          <w:szCs w:val="32"/>
        </w:rPr>
      </w:pPr>
      <w:r>
        <w:rPr>
          <w:rFonts w:hint="eastAsia" w:ascii="仿宋" w:hAnsi="仿宋" w:eastAsia="仿宋" w:cs="仿宋"/>
          <w:b/>
          <w:bCs/>
          <w:sz w:val="32"/>
          <w:szCs w:val="32"/>
        </w:rPr>
        <w:t>1.统筹执法力量</w:t>
      </w:r>
      <w:r>
        <w:rPr>
          <w:rFonts w:hint="eastAsia" w:ascii="仿宋" w:hAnsi="仿宋" w:eastAsia="仿宋" w:cs="仿宋"/>
          <w:b/>
          <w:bCs/>
          <w:sz w:val="32"/>
          <w:szCs w:val="32"/>
          <w:lang w:eastAsia="zh-CN"/>
        </w:rPr>
        <w:t>。</w:t>
      </w:r>
      <w:r>
        <w:rPr>
          <w:rFonts w:hint="eastAsia" w:ascii="仿宋" w:hAnsi="仿宋" w:eastAsia="仿宋" w:cs="仿宋"/>
          <w:sz w:val="32"/>
          <w:szCs w:val="32"/>
        </w:rPr>
        <w:t>从</w:t>
      </w:r>
      <w:r>
        <w:rPr>
          <w:rFonts w:hint="eastAsia" w:ascii="仿宋_GB2312" w:hAnsi="仿宋_GB2312" w:eastAsia="仿宋_GB2312" w:cs="仿宋_GB2312"/>
          <w:sz w:val="32"/>
          <w:szCs w:val="32"/>
          <w:lang w:eastAsia="zh-CN"/>
        </w:rPr>
        <w:t>市公共资源交易监管、住建、交通、水利、农业农村、城管执法局等</w:t>
      </w:r>
      <w:r>
        <w:rPr>
          <w:rFonts w:hint="eastAsia" w:ascii="仿宋" w:hAnsi="仿宋" w:eastAsia="仿宋" w:cs="仿宋"/>
          <w:sz w:val="32"/>
          <w:szCs w:val="32"/>
        </w:rPr>
        <w:t>等部门抽调具备执法资格的业务骨干</w:t>
      </w:r>
      <w:r>
        <w:rPr>
          <w:rFonts w:hint="eastAsia" w:ascii="仿宋" w:hAnsi="仿宋" w:eastAsia="仿宋" w:cs="仿宋"/>
          <w:sz w:val="32"/>
          <w:szCs w:val="32"/>
          <w:lang w:eastAsia="zh-CN"/>
        </w:rPr>
        <w:t>建立相对固定的执法人员库</w:t>
      </w:r>
      <w:r>
        <w:rPr>
          <w:rFonts w:hint="eastAsia" w:ascii="仿宋" w:hAnsi="仿宋" w:eastAsia="仿宋" w:cs="仿宋"/>
          <w:sz w:val="32"/>
          <w:szCs w:val="32"/>
        </w:rPr>
        <w:t>，对执法检查过程中发现的问题和投诉举报统一受理、分类处置，实现“一站式”办公。</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sz w:val="32"/>
          <w:szCs w:val="32"/>
        </w:rPr>
      </w:pPr>
      <w:r>
        <w:rPr>
          <w:rFonts w:hint="eastAsia" w:ascii="仿宋" w:hAnsi="仿宋" w:eastAsia="仿宋" w:cs="仿宋"/>
          <w:b/>
          <w:bCs/>
          <w:sz w:val="32"/>
          <w:szCs w:val="32"/>
        </w:rPr>
        <w:t>2.明确职责分工。</w:t>
      </w:r>
      <w:r>
        <w:rPr>
          <w:rFonts w:hint="eastAsia" w:ascii="仿宋" w:hAnsi="仿宋" w:eastAsia="仿宋" w:cs="仿宋"/>
          <w:sz w:val="32"/>
          <w:szCs w:val="32"/>
        </w:rPr>
        <w:t>根据《湖北省公共资源交易联动监督管理办法》要求，有关部门依据各自职责，依法对进入公共资源交易平台的招标投标活动实施全过程监督管理，参与“双随机、一公开”部门联合执法检查工作，依法处理举报、投诉或交办件，处理公共资源招标投标活动中的争议和矛盾，依法查处有关违法违规行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(三)信息联通</w:t>
      </w:r>
      <w:r>
        <w:rPr>
          <w:rFonts w:hint="eastAsia" w:ascii="楷体" w:hAnsi="楷体" w:eastAsia="楷体" w:cs="楷体"/>
          <w:sz w:val="32"/>
          <w:szCs w:val="32"/>
          <w:lang w:eastAsia="zh-CN"/>
        </w:rPr>
        <w:t>——一</w:t>
      </w:r>
      <w:r>
        <w:rPr>
          <w:rFonts w:hint="eastAsia" w:ascii="楷体" w:hAnsi="楷体" w:eastAsia="楷体" w:cs="楷体"/>
          <w:sz w:val="32"/>
          <w:szCs w:val="32"/>
        </w:rPr>
        <w:t>网覆盖，互联共享</w:t>
      </w:r>
      <w:r>
        <w:rPr>
          <w:rFonts w:hint="eastAsia" w:ascii="仿宋" w:hAnsi="仿宋" w:eastAsia="仿宋" w:cs="仿宋"/>
          <w:sz w:val="32"/>
          <w:szCs w:val="32"/>
        </w:rPr>
        <w:t>。充分利用“省招标投标电子监督平台”实施在线监管，形成以项目为单位的“互联网+监管”全链条监管工作格局。</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sz w:val="32"/>
          <w:szCs w:val="32"/>
          <w:lang w:eastAsia="zh-CN"/>
        </w:rPr>
      </w:pPr>
      <w:r>
        <w:rPr>
          <w:rFonts w:hint="eastAsia" w:ascii="仿宋" w:hAnsi="仿宋" w:eastAsia="仿宋" w:cs="仿宋"/>
          <w:b/>
          <w:bCs/>
          <w:sz w:val="32"/>
          <w:szCs w:val="32"/>
        </w:rPr>
        <w:t>1.在线实时监管。</w:t>
      </w:r>
      <w:r>
        <w:rPr>
          <w:rFonts w:hint="eastAsia" w:ascii="仿宋" w:hAnsi="仿宋" w:eastAsia="仿宋" w:cs="仿宋"/>
          <w:sz w:val="32"/>
          <w:szCs w:val="32"/>
        </w:rPr>
        <w:t>充分利用“省招标投标电子监督平台”实时监管功能，实现在线监督“一张网”。在线对招标、投标、</w:t>
      </w:r>
      <w:r>
        <w:rPr>
          <w:rFonts w:hint="eastAsia" w:ascii="仿宋" w:hAnsi="仿宋" w:eastAsia="仿宋" w:cs="仿宋"/>
          <w:sz w:val="32"/>
          <w:szCs w:val="32"/>
          <w:lang w:eastAsia="zh-CN"/>
        </w:rPr>
        <w:t>开标、评标各环节实施全流程监督，做到在线反馈、实时记录、全程留痕，预警处理各类问题，实现部门信息互联，提升监管效率和精度</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sz w:val="32"/>
          <w:szCs w:val="32"/>
          <w:lang w:eastAsia="zh-CN"/>
        </w:rPr>
      </w:pPr>
      <w:r>
        <w:rPr>
          <w:rFonts w:hint="eastAsia" w:ascii="仿宋" w:hAnsi="仿宋" w:eastAsia="仿宋" w:cs="仿宋"/>
          <w:b/>
          <w:bCs/>
          <w:sz w:val="32"/>
          <w:szCs w:val="32"/>
          <w:lang w:eastAsia="zh-CN"/>
        </w:rPr>
        <w:t>2.在线日常检查。</w:t>
      </w:r>
      <w:r>
        <w:rPr>
          <w:rFonts w:hint="eastAsia" w:ascii="仿宋" w:hAnsi="仿宋" w:eastAsia="仿宋" w:cs="仿宋"/>
          <w:sz w:val="32"/>
          <w:szCs w:val="32"/>
          <w:lang w:eastAsia="zh-CN"/>
        </w:rPr>
        <w:t>对进入市公共资源交易平台的项目，从项目注册、发布资格预审文件或招标文件、答疑澄清、评标报告、评标结果公示、中标结果公示及中标通知书、合同备案等环节合法合规性进行随机抽查，按照“谁主管、谁监管”的原则，发现问题立即处理。</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sz w:val="32"/>
          <w:szCs w:val="32"/>
          <w:lang w:eastAsia="zh-CN"/>
        </w:rPr>
      </w:pPr>
      <w:r>
        <w:rPr>
          <w:rFonts w:hint="eastAsia" w:ascii="仿宋" w:hAnsi="仿宋" w:eastAsia="仿宋" w:cs="仿宋"/>
          <w:b/>
          <w:bCs/>
          <w:sz w:val="32"/>
          <w:szCs w:val="32"/>
          <w:lang w:eastAsia="zh-CN"/>
        </w:rPr>
        <w:t>3.在线投诉处理。</w:t>
      </w:r>
      <w:r>
        <w:rPr>
          <w:rFonts w:hint="eastAsia" w:ascii="仿宋" w:hAnsi="仿宋" w:eastAsia="仿宋" w:cs="仿宋"/>
          <w:sz w:val="32"/>
          <w:szCs w:val="32"/>
          <w:lang w:eastAsia="zh-CN"/>
        </w:rPr>
        <w:t>在线依法受理进入市公共资源交易平台的项目当事人或利害关系人提交的投诉，按照法定职责进行自办、分办、转办，并向投诉人在线反馈办理结果。有效规范在线审核、在线受理、调查核实、投诉处理决定审批和送达、归档等环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楷体" w:hAnsi="楷体" w:eastAsia="楷体" w:cs="楷体"/>
          <w:sz w:val="32"/>
          <w:szCs w:val="32"/>
          <w:lang w:eastAsia="zh-CN"/>
        </w:rPr>
        <w:t>(四)检查联动——密切协作，闭环管理。</w:t>
      </w:r>
      <w:r>
        <w:rPr>
          <w:rFonts w:hint="eastAsia" w:ascii="仿宋" w:hAnsi="仿宋" w:eastAsia="仿宋" w:cs="仿宋"/>
          <w:sz w:val="32"/>
          <w:szCs w:val="32"/>
          <w:lang w:eastAsia="zh-CN"/>
        </w:rPr>
        <w:t>建立联动检查机制，统筹巡视巡察、审计反馈问题整改，“双随机一公开”联合检查，各类专项治理等工作，避免多头重复执法。</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sz w:val="32"/>
          <w:szCs w:val="32"/>
          <w:lang w:eastAsia="zh-CN"/>
        </w:rPr>
      </w:pPr>
      <w:r>
        <w:rPr>
          <w:rFonts w:hint="eastAsia" w:ascii="仿宋" w:hAnsi="仿宋" w:eastAsia="仿宋" w:cs="仿宋"/>
          <w:b/>
          <w:bCs/>
          <w:sz w:val="32"/>
          <w:szCs w:val="32"/>
          <w:lang w:eastAsia="zh-CN"/>
        </w:rPr>
        <w:t>1.加强主体监管。</w:t>
      </w:r>
      <w:r>
        <w:rPr>
          <w:rFonts w:hint="eastAsia" w:ascii="仿宋" w:hAnsi="仿宋" w:eastAsia="仿宋" w:cs="仿宋"/>
          <w:sz w:val="32"/>
          <w:szCs w:val="32"/>
          <w:lang w:eastAsia="zh-CN"/>
        </w:rPr>
        <w:t>联合发改部门严格监督招标人(项目法人)应进必进、应招必招，严格执行项目核准的招标范围、招标方式和招标组织形式，应用湖北省统一发布的招标文件示范文本，不得设置歧视性、排他性条款，不得随意提高资质等级、增设资质种类及其他各类不合理限制和壁垒。</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sz w:val="32"/>
          <w:szCs w:val="32"/>
        </w:rPr>
      </w:pPr>
      <w:r>
        <w:rPr>
          <w:rFonts w:hint="eastAsia" w:ascii="仿宋" w:hAnsi="仿宋" w:eastAsia="仿宋" w:cs="仿宋"/>
          <w:b/>
          <w:bCs/>
          <w:sz w:val="32"/>
          <w:szCs w:val="32"/>
          <w:lang w:eastAsia="zh-CN"/>
        </w:rPr>
        <w:t>2.加大检查力度。</w:t>
      </w:r>
      <w:r>
        <w:rPr>
          <w:rFonts w:hint="eastAsia" w:ascii="仿宋" w:hAnsi="仿宋" w:eastAsia="仿宋" w:cs="仿宋"/>
          <w:sz w:val="32"/>
          <w:szCs w:val="32"/>
          <w:lang w:eastAsia="zh-CN"/>
        </w:rPr>
        <w:t>采用“双随机一公开”方式每年开展不少于一次的专项监督执法检查，由建管办统一建立抽查事项清单、</w:t>
      </w:r>
      <w:r>
        <w:rPr>
          <w:rFonts w:hint="eastAsia" w:ascii="仿宋" w:hAnsi="仿宋" w:eastAsia="仿宋" w:cs="仿宋"/>
          <w:sz w:val="32"/>
          <w:szCs w:val="32"/>
        </w:rPr>
        <w:t>抽查项目库和执法人员名录库，按照房建市政项目不少于交易总数的5%，交通和水利工程项目不少于交易总数的10%，抽查总数不少于30个抽取具体项目，对各市场主体进行核查，实现标前</w:t>
      </w:r>
      <w:r>
        <w:rPr>
          <w:rFonts w:hint="eastAsia" w:ascii="仿宋" w:hAnsi="仿宋" w:eastAsia="仿宋" w:cs="仿宋"/>
          <w:sz w:val="32"/>
          <w:szCs w:val="32"/>
          <w:lang w:eastAsia="zh-CN"/>
        </w:rPr>
        <w:t>、</w:t>
      </w:r>
      <w:r>
        <w:rPr>
          <w:rFonts w:hint="eastAsia" w:ascii="仿宋" w:hAnsi="仿宋" w:eastAsia="仿宋" w:cs="仿宋"/>
          <w:sz w:val="32"/>
          <w:szCs w:val="32"/>
        </w:rPr>
        <w:t>标中</w:t>
      </w:r>
      <w:r>
        <w:rPr>
          <w:rFonts w:hint="eastAsia" w:ascii="仿宋" w:hAnsi="仿宋" w:eastAsia="仿宋" w:cs="仿宋"/>
          <w:sz w:val="32"/>
          <w:szCs w:val="32"/>
          <w:lang w:eastAsia="zh-CN"/>
        </w:rPr>
        <w:t>、</w:t>
      </w:r>
      <w:r>
        <w:rPr>
          <w:rFonts w:hint="eastAsia" w:ascii="仿宋" w:hAnsi="仿宋" w:eastAsia="仿宋" w:cs="仿宋"/>
          <w:sz w:val="32"/>
          <w:szCs w:val="32"/>
        </w:rPr>
        <w:t>标后执法检查全覆盖</w:t>
      </w:r>
      <w:r>
        <w:rPr>
          <w:rFonts w:hint="eastAsia" w:ascii="仿宋" w:hAnsi="仿宋" w:eastAsia="仿宋" w:cs="仿宋"/>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sz w:val="32"/>
          <w:szCs w:val="32"/>
        </w:rPr>
      </w:pPr>
      <w:r>
        <w:rPr>
          <w:rFonts w:hint="eastAsia" w:ascii="仿宋" w:hAnsi="仿宋" w:eastAsia="仿宋" w:cs="仿宋"/>
          <w:b/>
          <w:bCs/>
          <w:sz w:val="32"/>
          <w:szCs w:val="32"/>
          <w:lang w:eastAsia="zh-CN"/>
        </w:rPr>
        <w:t>3.联合整改督办。</w:t>
      </w:r>
      <w:r>
        <w:rPr>
          <w:rFonts w:hint="eastAsia" w:ascii="仿宋" w:hAnsi="仿宋" w:eastAsia="仿宋" w:cs="仿宋"/>
          <w:sz w:val="32"/>
          <w:szCs w:val="32"/>
        </w:rPr>
        <w:t>统一联合开展招投标领域专项整治行动及巡视、</w:t>
      </w:r>
      <w:r>
        <w:rPr>
          <w:rFonts w:hint="eastAsia" w:ascii="仿宋" w:hAnsi="仿宋" w:eastAsia="仿宋" w:cs="仿宋"/>
          <w:sz w:val="32"/>
          <w:szCs w:val="32"/>
          <w:lang w:eastAsia="zh-CN"/>
        </w:rPr>
        <w:t>巡察、</w:t>
      </w:r>
      <w:r>
        <w:rPr>
          <w:rFonts w:hint="eastAsia" w:ascii="仿宋" w:hAnsi="仿宋" w:eastAsia="仿宋" w:cs="仿宋"/>
          <w:sz w:val="32"/>
          <w:szCs w:val="32"/>
        </w:rPr>
        <w:t>审计反馈问题整改工作，集中进行会商研讨，制定整改方案，细化分解整改任务，明确整改措施</w:t>
      </w:r>
      <w:r>
        <w:rPr>
          <w:rFonts w:hint="eastAsia" w:ascii="仿宋" w:hAnsi="仿宋" w:eastAsia="仿宋" w:cs="仿宋"/>
          <w:sz w:val="32"/>
          <w:szCs w:val="32"/>
          <w:lang w:eastAsia="zh-CN"/>
        </w:rPr>
        <w:t>、</w:t>
      </w:r>
      <w:r>
        <w:rPr>
          <w:rFonts w:hint="eastAsia" w:ascii="仿宋" w:hAnsi="仿宋" w:eastAsia="仿宋" w:cs="仿宋"/>
          <w:sz w:val="32"/>
          <w:szCs w:val="32"/>
        </w:rPr>
        <w:t>提出完成时限</w:t>
      </w:r>
      <w:r>
        <w:rPr>
          <w:rFonts w:hint="eastAsia" w:ascii="仿宋" w:hAnsi="仿宋" w:eastAsia="仿宋" w:cs="仿宋"/>
          <w:sz w:val="32"/>
          <w:szCs w:val="32"/>
          <w:lang w:eastAsia="zh-CN"/>
        </w:rPr>
        <w:t>，</w:t>
      </w:r>
      <w:r>
        <w:rPr>
          <w:rFonts w:hint="eastAsia" w:ascii="仿宋" w:hAnsi="仿宋" w:eastAsia="仿宋" w:cs="仿宋"/>
          <w:sz w:val="32"/>
          <w:szCs w:val="32"/>
        </w:rPr>
        <w:t>落实整改责任，做到事事有回音、件件有着落。</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sz w:val="32"/>
          <w:szCs w:val="32"/>
        </w:rPr>
      </w:pPr>
      <w:r>
        <w:rPr>
          <w:rFonts w:hint="eastAsia" w:ascii="仿宋" w:hAnsi="仿宋" w:eastAsia="仿宋" w:cs="仿宋"/>
          <w:b/>
          <w:bCs/>
          <w:sz w:val="32"/>
          <w:szCs w:val="32"/>
          <w:lang w:eastAsia="zh-CN"/>
        </w:rPr>
        <w:t>4.标后履约提醒。</w:t>
      </w:r>
      <w:r>
        <w:rPr>
          <w:rFonts w:hint="eastAsia" w:ascii="仿宋" w:hAnsi="仿宋" w:eastAsia="仿宋" w:cs="仿宋"/>
          <w:sz w:val="32"/>
          <w:szCs w:val="32"/>
        </w:rPr>
        <w:t>对于重大项目或行业主管部门认为有必要重点关注的项目，施工前，行业主管部门组织对建设单位主要负责人或项目负责人、中标施工单位的法定代表人或经授权的中标施工单位其他负责人及项目经理进行中标履约事项的谈话，重点强调建设单位主体责任意识，包括但不限于项目建设目标、质量、工期、</w:t>
      </w:r>
      <w:r>
        <w:rPr>
          <w:rFonts w:hint="eastAsia" w:ascii="仿宋" w:hAnsi="仿宋" w:eastAsia="仿宋" w:cs="仿宋"/>
          <w:sz w:val="32"/>
          <w:szCs w:val="32"/>
          <w:lang w:eastAsia="zh-CN"/>
        </w:rPr>
        <w:t>安全</w:t>
      </w:r>
      <w:r>
        <w:rPr>
          <w:rFonts w:hint="eastAsia" w:ascii="仿宋" w:hAnsi="仿宋" w:eastAsia="仿宋" w:cs="仿宋"/>
          <w:sz w:val="32"/>
          <w:szCs w:val="32"/>
        </w:rPr>
        <w:t>文明施工、以及农民工工资支付要求等；</w:t>
      </w:r>
      <w:r>
        <w:rPr>
          <w:rFonts w:hint="eastAsia" w:ascii="仿宋" w:hAnsi="仿宋" w:eastAsia="仿宋" w:cs="仿宋"/>
          <w:sz w:val="32"/>
          <w:szCs w:val="32"/>
          <w:lang w:eastAsia="zh-CN"/>
        </w:rPr>
        <w:t>提醒</w:t>
      </w:r>
      <w:r>
        <w:rPr>
          <w:rFonts w:hint="eastAsia" w:ascii="仿宋" w:hAnsi="仿宋" w:eastAsia="仿宋" w:cs="仿宋"/>
          <w:sz w:val="32"/>
          <w:szCs w:val="32"/>
        </w:rPr>
        <w:t>中标施工单位依合同履约，</w:t>
      </w:r>
      <w:r>
        <w:rPr>
          <w:rFonts w:hint="eastAsia" w:ascii="仿宋" w:hAnsi="仿宋" w:eastAsia="仿宋" w:cs="仿宋"/>
          <w:sz w:val="32"/>
          <w:szCs w:val="32"/>
          <w:lang w:eastAsia="zh-CN"/>
        </w:rPr>
        <w:t>加强施工</w:t>
      </w:r>
      <w:r>
        <w:rPr>
          <w:rFonts w:hint="eastAsia" w:ascii="仿宋" w:hAnsi="仿宋" w:eastAsia="仿宋" w:cs="仿宋"/>
          <w:sz w:val="32"/>
          <w:szCs w:val="32"/>
        </w:rPr>
        <w:t>过程中的</w:t>
      </w:r>
      <w:r>
        <w:rPr>
          <w:rFonts w:hint="eastAsia" w:ascii="仿宋" w:hAnsi="仿宋" w:eastAsia="仿宋" w:cs="仿宋"/>
          <w:sz w:val="32"/>
          <w:szCs w:val="32"/>
          <w:lang w:eastAsia="zh-CN"/>
        </w:rPr>
        <w:t>人员、</w:t>
      </w:r>
      <w:r>
        <w:rPr>
          <w:rFonts w:hint="eastAsia" w:ascii="仿宋" w:hAnsi="仿宋" w:eastAsia="仿宋" w:cs="仿宋"/>
          <w:sz w:val="32"/>
          <w:szCs w:val="32"/>
        </w:rPr>
        <w:t>安全、质量</w:t>
      </w:r>
      <w:r>
        <w:rPr>
          <w:rFonts w:hint="eastAsia" w:ascii="仿宋" w:hAnsi="仿宋" w:eastAsia="仿宋" w:cs="仿宋"/>
          <w:sz w:val="32"/>
          <w:szCs w:val="32"/>
          <w:lang w:eastAsia="zh-CN"/>
        </w:rPr>
        <w:t>、</w:t>
      </w:r>
      <w:r>
        <w:rPr>
          <w:rFonts w:hint="eastAsia" w:ascii="仿宋" w:hAnsi="仿宋" w:eastAsia="仿宋" w:cs="仿宋"/>
          <w:sz w:val="32"/>
          <w:szCs w:val="32"/>
        </w:rPr>
        <w:t>进度</w:t>
      </w:r>
      <w:r>
        <w:rPr>
          <w:rFonts w:hint="eastAsia" w:ascii="仿宋" w:hAnsi="仿宋" w:eastAsia="仿宋" w:cs="仿宋"/>
          <w:sz w:val="32"/>
          <w:szCs w:val="32"/>
          <w:lang w:eastAsia="zh-CN"/>
        </w:rPr>
        <w:t>管理，履行</w:t>
      </w:r>
      <w:r>
        <w:rPr>
          <w:rFonts w:hint="eastAsia" w:ascii="仿宋" w:hAnsi="仿宋" w:eastAsia="仿宋" w:cs="仿宋"/>
          <w:sz w:val="32"/>
          <w:szCs w:val="32"/>
        </w:rPr>
        <w:t>文明施工</w:t>
      </w:r>
      <w:r>
        <w:rPr>
          <w:rFonts w:hint="eastAsia" w:ascii="仿宋" w:hAnsi="仿宋" w:eastAsia="仿宋" w:cs="仿宋"/>
          <w:sz w:val="32"/>
          <w:szCs w:val="32"/>
          <w:lang w:eastAsia="zh-CN"/>
        </w:rPr>
        <w:t>、</w:t>
      </w:r>
      <w:r>
        <w:rPr>
          <w:rFonts w:hint="eastAsia" w:ascii="仿宋" w:hAnsi="仿宋" w:eastAsia="仿宋" w:cs="仿宋"/>
          <w:sz w:val="32"/>
          <w:szCs w:val="32"/>
        </w:rPr>
        <w:t>农民工工资支付，</w:t>
      </w:r>
      <w:r>
        <w:rPr>
          <w:rFonts w:hint="eastAsia" w:ascii="仿宋" w:hAnsi="仿宋" w:eastAsia="仿宋" w:cs="仿宋"/>
          <w:sz w:val="32"/>
          <w:szCs w:val="32"/>
          <w:lang w:eastAsia="zh-CN"/>
        </w:rPr>
        <w:t>及</w:t>
      </w:r>
      <w:r>
        <w:rPr>
          <w:rFonts w:hint="eastAsia" w:ascii="仿宋" w:hAnsi="仿宋" w:eastAsia="仿宋" w:cs="仿宋"/>
          <w:sz w:val="32"/>
          <w:szCs w:val="32"/>
        </w:rPr>
        <w:t>不转包、不违法分包、不挂靠</w:t>
      </w:r>
      <w:r>
        <w:rPr>
          <w:rFonts w:hint="eastAsia" w:ascii="仿宋" w:hAnsi="仿宋" w:eastAsia="仿宋" w:cs="仿宋"/>
          <w:sz w:val="32"/>
          <w:szCs w:val="32"/>
          <w:lang w:eastAsia="zh-CN"/>
        </w:rPr>
        <w:t>等</w:t>
      </w:r>
      <w:r>
        <w:rPr>
          <w:rFonts w:hint="eastAsia" w:ascii="仿宋" w:hAnsi="仿宋" w:eastAsia="仿宋" w:cs="仿宋"/>
          <w:sz w:val="32"/>
          <w:szCs w:val="32"/>
        </w:rPr>
        <w:t>承诺。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 xml:space="preserve"> (五)案件联办</w:t>
      </w:r>
      <w:r>
        <w:rPr>
          <w:rFonts w:hint="eastAsia" w:ascii="楷体" w:hAnsi="楷体" w:eastAsia="楷体" w:cs="楷体"/>
          <w:sz w:val="32"/>
          <w:szCs w:val="32"/>
          <w:lang w:eastAsia="zh-CN"/>
        </w:rPr>
        <w:t>——</w:t>
      </w:r>
      <w:r>
        <w:rPr>
          <w:rFonts w:hint="eastAsia" w:ascii="楷体" w:hAnsi="楷体" w:eastAsia="楷体" w:cs="楷体"/>
          <w:sz w:val="32"/>
          <w:szCs w:val="32"/>
        </w:rPr>
        <w:t>“一窗” 受理，“一站”办结。</w:t>
      </w:r>
      <w:r>
        <w:rPr>
          <w:rFonts w:hint="eastAsia" w:ascii="仿宋" w:hAnsi="仿宋" w:eastAsia="仿宋" w:cs="仿宋"/>
          <w:sz w:val="32"/>
          <w:szCs w:val="32"/>
        </w:rPr>
        <w:t>发挥综合监管、行政监督和司法机关办案资源优势，合力打击公共资源交易中的违法违规行为，对联办案件实行集中会商、分类处置。</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sz w:val="32"/>
          <w:szCs w:val="32"/>
        </w:rPr>
      </w:pPr>
      <w:r>
        <w:rPr>
          <w:rFonts w:hint="eastAsia" w:ascii="仿宋" w:hAnsi="仿宋" w:eastAsia="仿宋" w:cs="仿宋"/>
          <w:b/>
          <w:bCs/>
          <w:sz w:val="32"/>
          <w:szCs w:val="32"/>
          <w:lang w:eastAsia="zh-CN"/>
        </w:rPr>
        <w:t>1.实施案件联办。</w:t>
      </w:r>
      <w:r>
        <w:rPr>
          <w:rFonts w:hint="eastAsia" w:ascii="仿宋" w:hAnsi="仿宋" w:eastAsia="仿宋" w:cs="仿宋"/>
          <w:sz w:val="32"/>
          <w:szCs w:val="32"/>
        </w:rPr>
        <w:t>充分运用综合监管机构、行政监督部门监管职能优势，实行“一窗受理，集中研判、统一立案、联合调查”，按照行政法定权责不变、行政处罚权属不变的原则，由具有法定</w:t>
      </w:r>
      <w:r>
        <w:rPr>
          <w:rFonts w:hint="eastAsia" w:ascii="仿宋" w:hAnsi="仿宋" w:eastAsia="仿宋" w:cs="仿宋"/>
          <w:sz w:val="32"/>
          <w:szCs w:val="32"/>
          <w:lang w:eastAsia="zh-CN"/>
        </w:rPr>
        <w:t>权责</w:t>
      </w:r>
      <w:r>
        <w:rPr>
          <w:rFonts w:hint="eastAsia" w:ascii="仿宋" w:hAnsi="仿宋" w:eastAsia="仿宋" w:cs="仿宋"/>
          <w:sz w:val="32"/>
          <w:szCs w:val="32"/>
        </w:rPr>
        <w:t>部门依法依规在行政处罚程序中作出处理决定。</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sz w:val="32"/>
          <w:szCs w:val="32"/>
          <w:lang w:eastAsia="zh-CN"/>
        </w:rPr>
      </w:pPr>
      <w:r>
        <w:rPr>
          <w:rFonts w:hint="eastAsia" w:ascii="仿宋" w:hAnsi="仿宋" w:eastAsia="仿宋" w:cs="仿宋"/>
          <w:b/>
          <w:bCs/>
          <w:sz w:val="32"/>
          <w:szCs w:val="32"/>
          <w:lang w:eastAsia="zh-CN"/>
        </w:rPr>
        <w:t>2.规范投诉举报。</w:t>
      </w:r>
      <w:r>
        <w:rPr>
          <w:rFonts w:hint="eastAsia" w:ascii="仿宋" w:hAnsi="仿宋" w:eastAsia="仿宋" w:cs="仿宋"/>
          <w:sz w:val="32"/>
          <w:szCs w:val="32"/>
        </w:rPr>
        <w:t>压缩投诉举报办理时限，领导小组办公室应在自收件起</w:t>
      </w:r>
      <w:r>
        <w:rPr>
          <w:rFonts w:hint="eastAsia" w:ascii="仿宋" w:hAnsi="仿宋" w:eastAsia="仿宋" w:cs="仿宋"/>
          <w:sz w:val="32"/>
          <w:szCs w:val="32"/>
          <w:lang w:val="en-US" w:eastAsia="zh-CN"/>
        </w:rPr>
        <w:t>3</w:t>
      </w:r>
      <w:r>
        <w:rPr>
          <w:rFonts w:hint="eastAsia" w:ascii="仿宋" w:hAnsi="仿宋" w:eastAsia="仿宋" w:cs="仿宋"/>
          <w:sz w:val="32"/>
          <w:szCs w:val="32"/>
        </w:rPr>
        <w:t>个工作日内作出是否受理投诉、5日内是否受理举报的决定，在15个工作日内办结投诉、30日内办结举报。畅通线上投诉举报渠道，全面实现投诉举报线上受理办结</w:t>
      </w:r>
      <w:r>
        <w:rPr>
          <w:rFonts w:hint="eastAsia" w:ascii="仿宋" w:hAnsi="仿宋" w:eastAsia="仿宋" w:cs="仿宋"/>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sz w:val="32"/>
          <w:szCs w:val="32"/>
          <w:lang w:eastAsia="zh-CN"/>
        </w:rPr>
      </w:pPr>
      <w:r>
        <w:rPr>
          <w:rFonts w:hint="eastAsia" w:ascii="仿宋" w:hAnsi="仿宋" w:eastAsia="仿宋" w:cs="仿宋"/>
          <w:b/>
          <w:bCs/>
          <w:sz w:val="32"/>
          <w:szCs w:val="32"/>
          <w:lang w:eastAsia="zh-CN"/>
        </w:rPr>
        <w:t>3.实现流程再造。</w:t>
      </w:r>
      <w:r>
        <w:rPr>
          <w:rFonts w:hint="eastAsia" w:ascii="仿宋" w:hAnsi="仿宋" w:eastAsia="仿宋" w:cs="仿宋"/>
          <w:sz w:val="32"/>
          <w:szCs w:val="32"/>
        </w:rPr>
        <w:t>梳理</w:t>
      </w:r>
      <w:r>
        <w:rPr>
          <w:rFonts w:hint="eastAsia" w:ascii="仿宋" w:hAnsi="仿宋" w:eastAsia="仿宋" w:cs="仿宋"/>
          <w:sz w:val="32"/>
          <w:szCs w:val="32"/>
          <w:lang w:eastAsia="zh-CN"/>
        </w:rPr>
        <w:t>有关</w:t>
      </w:r>
      <w:r>
        <w:rPr>
          <w:rFonts w:hint="eastAsia" w:ascii="仿宋" w:hAnsi="仿宋" w:eastAsia="仿宋" w:cs="仿宋"/>
          <w:sz w:val="32"/>
          <w:szCs w:val="32"/>
        </w:rPr>
        <w:t>行政监督部门法定权责及职责分工，实现综合监管联动执法流程再造。对投诉举报或行政检查发现的违法违规案件实行清单管理，统筹案件前期</w:t>
      </w:r>
      <w:r>
        <w:rPr>
          <w:rFonts w:hint="eastAsia" w:ascii="仿宋" w:hAnsi="仿宋" w:eastAsia="仿宋" w:cs="仿宋"/>
          <w:sz w:val="32"/>
          <w:szCs w:val="32"/>
          <w:lang w:eastAsia="zh-CN"/>
        </w:rPr>
        <w:t>、</w:t>
      </w:r>
      <w:r>
        <w:rPr>
          <w:rFonts w:hint="eastAsia" w:ascii="仿宋" w:hAnsi="仿宋" w:eastAsia="仿宋" w:cs="仿宋"/>
          <w:sz w:val="32"/>
          <w:szCs w:val="32"/>
        </w:rPr>
        <w:t>中期和后期的衔接与协作。规范行政执法</w:t>
      </w:r>
      <w:r>
        <w:rPr>
          <w:rFonts w:hint="eastAsia" w:ascii="仿宋" w:hAnsi="仿宋" w:eastAsia="仿宋" w:cs="仿宋"/>
          <w:sz w:val="32"/>
          <w:szCs w:val="32"/>
          <w:lang w:eastAsia="zh-CN"/>
        </w:rPr>
        <w:t>、</w:t>
      </w:r>
      <w:r>
        <w:rPr>
          <w:rFonts w:hint="eastAsia" w:ascii="仿宋" w:hAnsi="仿宋" w:eastAsia="仿宋" w:cs="仿宋"/>
          <w:sz w:val="32"/>
          <w:szCs w:val="32"/>
        </w:rPr>
        <w:t>投诉举报处理，部门交办联合办案流程，严格执行行政层级审批制度</w:t>
      </w:r>
      <w:r>
        <w:rPr>
          <w:rFonts w:hint="eastAsia" w:ascii="仿宋" w:hAnsi="仿宋" w:eastAsia="仿宋" w:cs="仿宋"/>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sz w:val="32"/>
          <w:szCs w:val="32"/>
        </w:rPr>
      </w:pPr>
      <w:r>
        <w:rPr>
          <w:rFonts w:hint="eastAsia" w:ascii="仿宋" w:hAnsi="仿宋" w:eastAsia="仿宋" w:cs="仿宋"/>
          <w:b/>
          <w:bCs/>
          <w:sz w:val="32"/>
          <w:szCs w:val="32"/>
          <w:lang w:eastAsia="zh-CN"/>
        </w:rPr>
        <w:t>4.推进联合奖惩。</w:t>
      </w:r>
      <w:r>
        <w:rPr>
          <w:rFonts w:hint="eastAsia" w:ascii="仿宋" w:hAnsi="仿宋" w:eastAsia="仿宋" w:cs="仿宋"/>
          <w:sz w:val="32"/>
          <w:szCs w:val="32"/>
        </w:rPr>
        <w:t>综合运用行政性</w:t>
      </w:r>
      <w:r>
        <w:rPr>
          <w:rFonts w:hint="eastAsia" w:ascii="仿宋" w:hAnsi="仿宋" w:eastAsia="仿宋" w:cs="仿宋"/>
          <w:sz w:val="32"/>
          <w:szCs w:val="32"/>
          <w:lang w:eastAsia="zh-CN"/>
        </w:rPr>
        <w:t>、</w:t>
      </w:r>
      <w:r>
        <w:rPr>
          <w:rFonts w:hint="eastAsia" w:ascii="仿宋" w:hAnsi="仿宋" w:eastAsia="仿宋" w:cs="仿宋"/>
          <w:sz w:val="32"/>
          <w:szCs w:val="32"/>
        </w:rPr>
        <w:t>市场性、社会性等奖惩手段，实施守信联合激励和失信联合惩戒，加大招标代理机构行为监管，开展联合信用评价管理，形成综合监督机构与行政监督部门联动管理，招标代理机构自律管理，社会舆论广泛监督的共同治理格局。</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lang w:eastAsia="zh-CN"/>
        </w:rPr>
        <w:t>三</w:t>
      </w:r>
      <w:r>
        <w:rPr>
          <w:rFonts w:hint="eastAsia" w:ascii="黑体" w:hAnsi="黑体" w:eastAsia="黑体" w:cs="黑体"/>
          <w:sz w:val="32"/>
          <w:szCs w:val="32"/>
        </w:rPr>
        <w:t>、保障措施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(一)强化责任落实。</w:t>
      </w:r>
      <w:r>
        <w:rPr>
          <w:rFonts w:hint="eastAsia" w:ascii="仿宋" w:hAnsi="仿宋" w:eastAsia="仿宋" w:cs="仿宋"/>
          <w:sz w:val="32"/>
          <w:szCs w:val="32"/>
        </w:rPr>
        <w:t>各相关部门要进一步提高政治站位，统一思想，凝聚共识，按照任务要求，压实责任，强化举措，狠抓落实。同时要强化部门协同联动。形成齐抓共管合力，不断提升公共资源交易综合监管能力。</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 xml:space="preserve">   </w:t>
      </w:r>
      <w:r>
        <w:rPr>
          <w:rFonts w:hint="eastAsia" w:ascii="楷体" w:hAnsi="楷体" w:eastAsia="楷体" w:cs="楷体"/>
          <w:sz w:val="32"/>
          <w:szCs w:val="32"/>
          <w:lang w:val="en-US" w:eastAsia="zh-CN"/>
        </w:rPr>
        <w:t>（二）</w:t>
      </w:r>
      <w:r>
        <w:rPr>
          <w:rFonts w:hint="eastAsia" w:ascii="楷体" w:hAnsi="楷体" w:eastAsia="楷体" w:cs="楷体"/>
          <w:sz w:val="32"/>
          <w:szCs w:val="32"/>
        </w:rPr>
        <w:t>加强统筹调度。</w:t>
      </w:r>
      <w:r>
        <w:rPr>
          <w:rFonts w:hint="eastAsia" w:ascii="仿宋" w:hAnsi="仿宋" w:eastAsia="仿宋" w:cs="仿宋"/>
          <w:sz w:val="32"/>
          <w:szCs w:val="32"/>
        </w:rPr>
        <w:t>建立工作调度机制，定期召开领导小组会议，及时分析研判，提出意见建议，有效解决相关问题。领导小组办公室要做好统筹协调，及时收集汇总相关信息，报送工作进展情况。各相关部门要加强信息互联互通和整体联动配合，扎实推进公共资源交易综合监管</w:t>
      </w:r>
      <w:r>
        <w:rPr>
          <w:rFonts w:hint="eastAsia" w:ascii="仿宋" w:hAnsi="仿宋" w:eastAsia="仿宋" w:cs="仿宋"/>
          <w:sz w:val="32"/>
          <w:szCs w:val="32"/>
          <w:lang w:eastAsia="zh-CN"/>
        </w:rPr>
        <w:t>工作</w:t>
      </w:r>
      <w:r>
        <w:rPr>
          <w:rFonts w:hint="eastAsia" w:ascii="仿宋" w:hAnsi="仿宋" w:eastAsia="仿宋" w:cs="仿宋"/>
          <w:sz w:val="32"/>
          <w:szCs w:val="32"/>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楷体" w:hAnsi="楷体" w:eastAsia="楷体" w:cs="楷体"/>
          <w:sz w:val="32"/>
          <w:szCs w:val="32"/>
        </w:rPr>
        <w:t>(三)严明工作纪律。</w:t>
      </w:r>
      <w:r>
        <w:rPr>
          <w:rFonts w:hint="eastAsia" w:ascii="仿宋" w:hAnsi="仿宋" w:eastAsia="仿宋" w:cs="仿宋"/>
          <w:sz w:val="32"/>
          <w:szCs w:val="32"/>
        </w:rPr>
        <w:t>加强对公共资源交易领域公共服务、行政监督和市场规范等工作情况的监督检查，定期向社会公开相关工作执行情况</w:t>
      </w:r>
      <w:r>
        <w:rPr>
          <w:rFonts w:hint="eastAsia" w:ascii="仿宋" w:hAnsi="仿宋" w:eastAsia="仿宋" w:cs="仿宋"/>
          <w:sz w:val="32"/>
          <w:szCs w:val="32"/>
          <w:lang w:eastAsia="zh-CN"/>
        </w:rPr>
        <w:t>。</w:t>
      </w:r>
      <w:r>
        <w:rPr>
          <w:rFonts w:hint="eastAsia" w:ascii="仿宋" w:hAnsi="仿宋" w:eastAsia="仿宋" w:cs="仿宋"/>
          <w:sz w:val="32"/>
          <w:szCs w:val="32"/>
        </w:rPr>
        <w:t>加强对公共资源交易监管部门、公共资源交易中心及其工作人员的执纪监督，对推进工作不力、整合不到位的，要进行通报，确保各项任务措施落实到位。</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lang w:eastAsia="zh-CN"/>
        </w:rPr>
      </w:pPr>
      <w:r>
        <w:rPr>
          <w:rFonts w:hint="eastAsia" w:ascii="仿宋" w:hAnsi="仿宋" w:eastAsia="仿宋" w:cs="仿宋"/>
          <w:sz w:val="32"/>
          <w:szCs w:val="32"/>
          <w:lang w:eastAsia="zh-CN"/>
        </w:rPr>
        <w:t>附件：汉川市公共资源交易综合监管联动执法操作规程</w:t>
      </w:r>
    </w:p>
    <w:p>
      <w:pPr>
        <w:pStyle w:val="2"/>
        <w:rPr>
          <w:rFonts w:hint="eastAsia" w:eastAsia="仿宋"/>
          <w:lang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36"/>
          <w:szCs w:val="36"/>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36"/>
          <w:szCs w:val="36"/>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36"/>
          <w:szCs w:val="36"/>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36"/>
          <w:szCs w:val="36"/>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36"/>
          <w:szCs w:val="36"/>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36"/>
          <w:szCs w:val="36"/>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36"/>
          <w:szCs w:val="36"/>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36"/>
          <w:szCs w:val="36"/>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36"/>
          <w:szCs w:val="36"/>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36"/>
          <w:szCs w:val="36"/>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36"/>
          <w:szCs w:val="36"/>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36"/>
          <w:szCs w:val="36"/>
          <w:lang w:eastAsia="zh-CN"/>
        </w:rPr>
      </w:pP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附件：</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方正小标宋简体" w:hAnsi="方正小标宋简体" w:eastAsia="方正小标宋简体" w:cs="方正小标宋简体"/>
          <w:sz w:val="36"/>
          <w:szCs w:val="36"/>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lang w:eastAsia="zh-CN"/>
        </w:rPr>
        <w:t>汉川</w:t>
      </w:r>
      <w:r>
        <w:rPr>
          <w:rFonts w:hint="eastAsia" w:ascii="方正小标宋简体" w:hAnsi="方正小标宋简体" w:eastAsia="方正小标宋简体" w:cs="方正小标宋简体"/>
          <w:sz w:val="36"/>
          <w:szCs w:val="36"/>
        </w:rPr>
        <w:t>市公共资源交易综合监管联动执法</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操作规程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为进一步规范公共资源交易综合监管和执法行为，建立健全跨部门综合监管机制，打破部门执法壁垒，形成部门联动执法合力，全面提升执法工作效能，持续优化公共资源交易领域营商环境，特制定本操作规程。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一、整合职能，</w:t>
      </w:r>
      <w:r>
        <w:rPr>
          <w:rFonts w:hint="eastAsia" w:ascii="黑体" w:hAnsi="黑体" w:eastAsia="黑体" w:cs="黑体"/>
          <w:b w:val="0"/>
          <w:bCs w:val="0"/>
          <w:sz w:val="32"/>
          <w:szCs w:val="32"/>
          <w:lang w:eastAsia="zh-CN"/>
        </w:rPr>
        <w:t>联合</w:t>
      </w:r>
      <w:r>
        <w:rPr>
          <w:rFonts w:hint="eastAsia" w:ascii="黑体" w:hAnsi="黑体" w:eastAsia="黑体" w:cs="黑体"/>
          <w:b w:val="0"/>
          <w:bCs w:val="0"/>
          <w:sz w:val="32"/>
          <w:szCs w:val="32"/>
        </w:rPr>
        <w:t>办公</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楷体" w:hAnsi="楷体" w:eastAsia="楷体" w:cs="楷体"/>
          <w:sz w:val="32"/>
          <w:szCs w:val="32"/>
        </w:rPr>
        <w:t>（一）机构设置。</w:t>
      </w:r>
      <w:r>
        <w:rPr>
          <w:rFonts w:hint="eastAsia" w:ascii="仿宋_GB2312" w:hAnsi="仿宋_GB2312" w:eastAsia="仿宋_GB2312" w:cs="仿宋_GB2312"/>
          <w:sz w:val="32"/>
          <w:szCs w:val="32"/>
          <w:lang w:eastAsia="zh-CN"/>
        </w:rPr>
        <w:t>在汉川</w:t>
      </w:r>
      <w:r>
        <w:rPr>
          <w:rFonts w:hint="eastAsia" w:ascii="仿宋_GB2312" w:hAnsi="仿宋_GB2312" w:eastAsia="仿宋_GB2312" w:cs="仿宋_GB2312"/>
          <w:sz w:val="32"/>
          <w:szCs w:val="32"/>
        </w:rPr>
        <w:t>市公共资源交易</w:t>
      </w:r>
      <w:r>
        <w:rPr>
          <w:rFonts w:hint="eastAsia" w:ascii="仿宋_GB2312" w:hAnsi="仿宋_GB2312" w:eastAsia="仿宋_GB2312" w:cs="仿宋_GB2312"/>
          <w:sz w:val="32"/>
          <w:szCs w:val="32"/>
          <w:lang w:eastAsia="zh-CN"/>
        </w:rPr>
        <w:t>管理委员会</w:t>
      </w:r>
      <w:r>
        <w:rPr>
          <w:rFonts w:hint="eastAsia" w:ascii="仿宋_GB2312" w:hAnsi="仿宋_GB2312" w:eastAsia="仿宋_GB2312" w:cs="仿宋_GB2312"/>
          <w:sz w:val="32"/>
          <w:szCs w:val="32"/>
        </w:rPr>
        <w:t>下</w:t>
      </w:r>
      <w:r>
        <w:rPr>
          <w:rFonts w:hint="eastAsia" w:ascii="仿宋_GB2312" w:hAnsi="仿宋_GB2312" w:eastAsia="仿宋_GB2312" w:cs="仿宋_GB2312"/>
          <w:sz w:val="32"/>
          <w:szCs w:val="32"/>
          <w:lang w:eastAsia="zh-CN"/>
        </w:rPr>
        <w:t>设立</w:t>
      </w:r>
      <w:r>
        <w:rPr>
          <w:rFonts w:hint="eastAsia" w:ascii="仿宋_GB2312" w:hAnsi="仿宋_GB2312" w:eastAsia="仿宋_GB2312" w:cs="仿宋_GB2312"/>
          <w:sz w:val="32"/>
          <w:szCs w:val="32"/>
        </w:rPr>
        <w:t>公共资源交易综合监管联合执法办公室(以下简称“监管办”)，办公地点设在市公共资源交易监督管理局(市政务服务和大数据管理局)</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楷体" w:hAnsi="楷体" w:eastAsia="楷体" w:cs="楷体"/>
          <w:sz w:val="32"/>
          <w:szCs w:val="32"/>
        </w:rPr>
        <w:t>（二）队伍组建。</w:t>
      </w:r>
      <w:r>
        <w:rPr>
          <w:rFonts w:hint="eastAsia" w:ascii="仿宋_GB2312" w:hAnsi="仿宋_GB2312" w:eastAsia="仿宋_GB2312" w:cs="仿宋_GB2312"/>
          <w:sz w:val="32"/>
          <w:szCs w:val="32"/>
        </w:rPr>
        <w:t>监管办</w:t>
      </w:r>
      <w:r>
        <w:rPr>
          <w:rFonts w:hint="eastAsia" w:ascii="仿宋_GB2312" w:hAnsi="仿宋_GB2312" w:eastAsia="仿宋_GB2312" w:cs="仿宋_GB2312"/>
          <w:sz w:val="32"/>
          <w:szCs w:val="32"/>
          <w:lang w:eastAsia="zh-CN"/>
        </w:rPr>
        <w:t>工作人员从市公共资源交易监管局和住建、交通、水利、农业农村、城管执法局等监督部门执法人员中抽调，采取联席会议、分散办公、集中执法相结合的方式，实行一月一调度</w:t>
      </w:r>
      <w:r>
        <w:rPr>
          <w:rFonts w:hint="eastAsia" w:ascii="仿宋_GB2312" w:hAnsi="仿宋_GB2312" w:eastAsia="仿宋_GB2312" w:cs="仿宋_GB2312"/>
          <w:sz w:val="32"/>
          <w:szCs w:val="32"/>
        </w:rPr>
        <w:t>。市公共资源交易</w:t>
      </w:r>
      <w:r>
        <w:rPr>
          <w:rFonts w:hint="eastAsia" w:ascii="仿宋_GB2312" w:hAnsi="仿宋_GB2312" w:eastAsia="仿宋_GB2312" w:cs="仿宋_GB2312"/>
          <w:sz w:val="32"/>
          <w:szCs w:val="32"/>
          <w:lang w:eastAsia="zh-CN"/>
        </w:rPr>
        <w:t>管理委员会</w:t>
      </w:r>
      <w:r>
        <w:rPr>
          <w:rFonts w:hint="eastAsia" w:ascii="仿宋_GB2312" w:hAnsi="仿宋_GB2312" w:eastAsia="仿宋_GB2312" w:cs="仿宋_GB2312"/>
          <w:sz w:val="32"/>
          <w:szCs w:val="32"/>
        </w:rPr>
        <w:t>其他成员单位根据工作需要实时抽派人员协助相关工作，实现力量联席的整体目标。</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楷体" w:hAnsi="楷体" w:eastAsia="楷体" w:cs="楷体"/>
          <w:sz w:val="32"/>
          <w:szCs w:val="32"/>
        </w:rPr>
        <w:t>（三）职能整合。</w:t>
      </w:r>
      <w:r>
        <w:rPr>
          <w:rFonts w:hint="eastAsia" w:ascii="仿宋_GB2312" w:hAnsi="仿宋_GB2312" w:eastAsia="仿宋_GB2312" w:cs="仿宋_GB2312"/>
          <w:sz w:val="32"/>
          <w:szCs w:val="32"/>
        </w:rPr>
        <w:t>监管办统一</w:t>
      </w:r>
      <w:r>
        <w:rPr>
          <w:rFonts w:hint="eastAsia" w:ascii="仿宋_GB2312" w:hAnsi="仿宋_GB2312" w:eastAsia="仿宋_GB2312" w:cs="仿宋_GB2312"/>
          <w:sz w:val="32"/>
          <w:szCs w:val="32"/>
          <w:lang w:eastAsia="zh-CN"/>
        </w:rPr>
        <w:t>组织</w:t>
      </w:r>
      <w:r>
        <w:rPr>
          <w:rFonts w:hint="eastAsia" w:ascii="仿宋_GB2312" w:hAnsi="仿宋_GB2312" w:eastAsia="仿宋_GB2312" w:cs="仿宋_GB2312"/>
          <w:sz w:val="32"/>
          <w:szCs w:val="32"/>
        </w:rPr>
        <w:t>对依法进入公共资源交易中心的招标投标活动实施全过程监督管理，开展部门联合执法检查工作，依法受理招投标领域中出现的举报、投诉或交办件，协调处理公共资源招标投标活动中的争议和矛盾，依法查处公共资源招标投标活动中的违法行为。</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楷体" w:hAnsi="楷体" w:eastAsia="楷体" w:cs="楷体"/>
          <w:sz w:val="32"/>
          <w:szCs w:val="32"/>
        </w:rPr>
        <w:t>（四）建章立制。</w:t>
      </w:r>
      <w:r>
        <w:rPr>
          <w:rFonts w:hint="eastAsia" w:ascii="仿宋_GB2312" w:hAnsi="仿宋_GB2312" w:eastAsia="仿宋_GB2312" w:cs="仿宋_GB2312"/>
          <w:sz w:val="32"/>
          <w:szCs w:val="32"/>
        </w:rPr>
        <w:t>建立联合、联办、联治等工作机制，拟定公共资源交易综合监管联动执法相关工作制度，报市公共资源交易</w:t>
      </w:r>
      <w:r>
        <w:rPr>
          <w:rFonts w:hint="eastAsia" w:ascii="仿宋_GB2312" w:hAnsi="仿宋_GB2312" w:eastAsia="仿宋_GB2312" w:cs="仿宋_GB2312"/>
          <w:sz w:val="32"/>
          <w:szCs w:val="32"/>
          <w:lang w:eastAsia="zh-CN"/>
        </w:rPr>
        <w:t>委员会</w:t>
      </w:r>
      <w:r>
        <w:rPr>
          <w:rFonts w:hint="eastAsia" w:ascii="仿宋_GB2312" w:hAnsi="仿宋_GB2312" w:eastAsia="仿宋_GB2312" w:cs="仿宋_GB2312"/>
          <w:sz w:val="32"/>
          <w:szCs w:val="32"/>
        </w:rPr>
        <w:t>审议，形成制度体系，规范工作流程，统一执法文书。</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楷体" w:hAnsi="楷体" w:eastAsia="楷体" w:cs="楷体"/>
          <w:sz w:val="32"/>
          <w:szCs w:val="32"/>
        </w:rPr>
        <w:t>（五）干部管理。</w:t>
      </w:r>
      <w:r>
        <w:rPr>
          <w:rFonts w:hint="eastAsia" w:ascii="仿宋_GB2312" w:hAnsi="仿宋_GB2312" w:eastAsia="仿宋_GB2312" w:cs="仿宋_GB2312"/>
          <w:sz w:val="32"/>
          <w:szCs w:val="32"/>
          <w:lang w:eastAsia="zh-CN"/>
        </w:rPr>
        <w:t>监管办工作人员在执法活动中</w:t>
      </w:r>
      <w:r>
        <w:rPr>
          <w:rFonts w:hint="eastAsia" w:ascii="仿宋_GB2312" w:hAnsi="仿宋_GB2312" w:eastAsia="仿宋_GB2312" w:cs="仿宋_GB2312"/>
          <w:sz w:val="32"/>
          <w:szCs w:val="32"/>
        </w:rPr>
        <w:t>接受监管办的</w:t>
      </w:r>
      <w:r>
        <w:rPr>
          <w:rFonts w:hint="eastAsia" w:ascii="仿宋_GB2312" w:hAnsi="仿宋_GB2312" w:eastAsia="仿宋_GB2312" w:cs="仿宋_GB2312"/>
          <w:sz w:val="32"/>
          <w:szCs w:val="32"/>
          <w:lang w:eastAsia="zh-CN"/>
        </w:rPr>
        <w:t>监督</w:t>
      </w:r>
      <w:r>
        <w:rPr>
          <w:rFonts w:hint="eastAsia" w:ascii="仿宋_GB2312" w:hAnsi="仿宋_GB2312" w:eastAsia="仿宋_GB2312" w:cs="仿宋_GB2312"/>
          <w:sz w:val="32"/>
          <w:szCs w:val="32"/>
        </w:rPr>
        <w:t>管理。监管办</w:t>
      </w:r>
      <w:r>
        <w:rPr>
          <w:rFonts w:hint="eastAsia" w:ascii="仿宋_GB2312" w:hAnsi="仿宋_GB2312" w:eastAsia="仿宋_GB2312" w:cs="仿宋_GB2312"/>
          <w:sz w:val="32"/>
          <w:szCs w:val="32"/>
          <w:lang w:eastAsia="zh-CN"/>
        </w:rPr>
        <w:t>定期对</w:t>
      </w:r>
      <w:r>
        <w:rPr>
          <w:rFonts w:hint="eastAsia" w:ascii="仿宋_GB2312" w:hAnsi="仿宋_GB2312" w:eastAsia="仿宋_GB2312" w:cs="仿宋_GB2312"/>
          <w:sz w:val="32"/>
          <w:szCs w:val="32"/>
        </w:rPr>
        <w:t>工作人员</w:t>
      </w:r>
      <w:r>
        <w:rPr>
          <w:rFonts w:hint="eastAsia" w:ascii="仿宋_GB2312" w:hAnsi="仿宋_GB2312" w:eastAsia="仿宋_GB2312" w:cs="仿宋_GB2312"/>
          <w:sz w:val="32"/>
          <w:szCs w:val="32"/>
          <w:lang w:eastAsia="zh-CN"/>
        </w:rPr>
        <w:t>开展考核鉴定，并将考核情况抄送</w:t>
      </w:r>
      <w:r>
        <w:rPr>
          <w:rFonts w:hint="eastAsia" w:ascii="仿宋_GB2312" w:hAnsi="仿宋_GB2312" w:eastAsia="仿宋_GB2312" w:cs="仿宋_GB2312"/>
          <w:sz w:val="32"/>
          <w:szCs w:val="32"/>
        </w:rPr>
        <w:t>的晋升渠道与年度考评挂钩，成绩突出的向组织部门重点推荐，纳入后备干部培养人选。</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二、规范流程，联动检查</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楷体" w:hAnsi="楷体" w:eastAsia="楷体" w:cs="楷体"/>
          <w:sz w:val="32"/>
          <w:szCs w:val="32"/>
        </w:rPr>
        <w:t>（一）检查方案统一。</w:t>
      </w:r>
      <w:r>
        <w:rPr>
          <w:rFonts w:hint="eastAsia" w:ascii="仿宋_GB2312" w:hAnsi="仿宋_GB2312" w:eastAsia="仿宋_GB2312" w:cs="仿宋_GB2312"/>
          <w:sz w:val="32"/>
          <w:szCs w:val="32"/>
        </w:rPr>
        <w:t>根据法律、法规和规章规定的检查事项制定标前、标中、标后检查事项清单，确定年度检查的比例、频次和方式。制定检查计划，明确检查程序、检查内容、检查方法和检查人员，实现招投标领域综合执法检查精准化、规范化和标准化。</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楷体" w:hAnsi="楷体" w:eastAsia="楷体" w:cs="楷体"/>
          <w:sz w:val="32"/>
          <w:szCs w:val="32"/>
        </w:rPr>
        <w:t>（二）执法流程统一。</w:t>
      </w:r>
      <w:r>
        <w:rPr>
          <w:rFonts w:hint="eastAsia" w:ascii="仿宋_GB2312" w:hAnsi="仿宋_GB2312" w:eastAsia="仿宋_GB2312" w:cs="仿宋_GB2312"/>
          <w:sz w:val="32"/>
          <w:szCs w:val="32"/>
        </w:rPr>
        <w:t>监管办根据事权清单制定执法检查流程图，事前对检查依据、检查主体、检查事项、检查方式、检查程序在</w:t>
      </w:r>
      <w:r>
        <w:rPr>
          <w:rFonts w:hint="eastAsia" w:ascii="仿宋_GB2312" w:hAnsi="仿宋_GB2312" w:eastAsia="仿宋_GB2312" w:cs="仿宋_GB2312"/>
          <w:sz w:val="32"/>
          <w:szCs w:val="32"/>
          <w:lang w:eastAsia="zh-CN"/>
        </w:rPr>
        <w:t>汉川</w:t>
      </w:r>
      <w:r>
        <w:rPr>
          <w:rFonts w:hint="eastAsia" w:ascii="仿宋_GB2312" w:hAnsi="仿宋_GB2312" w:eastAsia="仿宋_GB2312" w:cs="仿宋_GB2312"/>
          <w:sz w:val="32"/>
          <w:szCs w:val="32"/>
        </w:rPr>
        <w:t>市政府门户网站集中公示(涉及商业秘密的内容除外)，接受社会监督。以“双随机一公开”执法检查方式为主，建立年度“一单两库”。规范统一检查文书，文书内容涵盖各检查部门检查内容。</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楷体" w:hAnsi="楷体" w:eastAsia="楷体" w:cs="楷体"/>
          <w:sz w:val="32"/>
          <w:szCs w:val="32"/>
        </w:rPr>
        <w:t>（三）执法行动统一。</w:t>
      </w:r>
      <w:r>
        <w:rPr>
          <w:rFonts w:hint="eastAsia" w:ascii="仿宋_GB2312" w:hAnsi="仿宋_GB2312" w:eastAsia="仿宋_GB2312" w:cs="仿宋_GB2312"/>
          <w:sz w:val="32"/>
          <w:szCs w:val="32"/>
        </w:rPr>
        <w:t>按照检查方案确定时间节点，采取线上、线下相结合的方式完成对检查对象的执法检查，对同一检查对象的多个事项，原则上应由市监管办一次性联合完成，实现公共资源交易领域执法检查全覆盖。</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楷体" w:hAnsi="楷体" w:eastAsia="楷体" w:cs="楷体"/>
          <w:sz w:val="32"/>
          <w:szCs w:val="32"/>
        </w:rPr>
        <w:t>（四）结果处理统一。</w:t>
      </w:r>
      <w:r>
        <w:rPr>
          <w:rFonts w:hint="eastAsia" w:ascii="仿宋_GB2312" w:hAnsi="仿宋_GB2312" w:eastAsia="仿宋_GB2312" w:cs="仿宋_GB2312"/>
          <w:sz w:val="32"/>
          <w:szCs w:val="32"/>
        </w:rPr>
        <w:t>监管办在检查工作完成后，召开专题会议，收集资料，汇总相关信息，编写执法检查报告，及时报送监管办主任审阅。对首次轻微违法且未构成社会危害性的，按照约谈工作机制，对检查发现的问题企业及时开展谈话提醒、批评教育、责令整改；对涉嫌违反招投标法律法规的向监管办报告，实行案件查办分流；涉嫌违规违纪的移送纪检监察机关处置；涉嫌违法犯罪的移送公安部门查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楷体" w:hAnsi="楷体" w:eastAsia="楷体" w:cs="楷体"/>
          <w:sz w:val="32"/>
          <w:szCs w:val="32"/>
        </w:rPr>
        <w:t>（五）结果公示统一。</w:t>
      </w:r>
      <w:r>
        <w:rPr>
          <w:rFonts w:hint="eastAsia" w:ascii="仿宋_GB2312" w:hAnsi="仿宋_GB2312" w:eastAsia="仿宋_GB2312" w:cs="仿宋_GB2312"/>
          <w:sz w:val="32"/>
          <w:szCs w:val="32"/>
        </w:rPr>
        <w:t>执法检查结果经市监管办主要负责人审签同意后，由市监管办于10个工作日内， 通过</w:t>
      </w:r>
      <w:r>
        <w:rPr>
          <w:rFonts w:hint="eastAsia" w:ascii="仿宋_GB2312" w:hAnsi="仿宋_GB2312" w:eastAsia="仿宋_GB2312" w:cs="仿宋_GB2312"/>
          <w:sz w:val="32"/>
          <w:szCs w:val="32"/>
          <w:lang w:eastAsia="zh-CN"/>
        </w:rPr>
        <w:t>汉川</w:t>
      </w:r>
      <w:r>
        <w:rPr>
          <w:rFonts w:hint="eastAsia" w:ascii="仿宋_GB2312" w:hAnsi="仿宋_GB2312" w:eastAsia="仿宋_GB2312" w:cs="仿宋_GB2312"/>
          <w:sz w:val="32"/>
          <w:szCs w:val="32"/>
        </w:rPr>
        <w:t>市人民政府门户网站及相关公示平台向社会公布。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三、统一受理，协同办案</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楷体" w:hAnsi="楷体" w:eastAsia="楷体" w:cs="楷体"/>
          <w:sz w:val="32"/>
          <w:szCs w:val="32"/>
        </w:rPr>
        <w:t>（一）集中受理。</w:t>
      </w:r>
      <w:r>
        <w:rPr>
          <w:rFonts w:hint="eastAsia" w:ascii="仿宋_GB2312" w:hAnsi="仿宋_GB2312" w:eastAsia="仿宋_GB2312" w:cs="仿宋_GB2312"/>
          <w:sz w:val="32"/>
          <w:szCs w:val="32"/>
        </w:rPr>
        <w:t>由市监管办统一受理线上监管投诉平台、归集上级交办的关于招投标领域的投诉举报的问题线索。收到问题线索后，统一填写《案件基本情况登记表》，及时报告监管办主要负责人，组织专题会议集中会商，明确问题线索受理意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1.对线上符合受理条件的投诉举报问题线索，由市监管办指定人员在线集中受理。不符合受理条件的，在线说明不予受理的理由并依法驳回。</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对线下符合受理条件的投诉、举报问题线索由市监管办向当事人发放《受理告知书》，涉及项目正在交易过程中的视情况对招标人发放《暂停招标投标活动通知书》。对不符合受理的，向当事人发放《不予受理通知书》，说明不予受理的理由。</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楷体" w:hAnsi="楷体" w:eastAsia="楷体" w:cs="楷体"/>
          <w:sz w:val="32"/>
          <w:szCs w:val="32"/>
        </w:rPr>
        <w:t>（二）联合调查。</w:t>
      </w:r>
      <w:r>
        <w:rPr>
          <w:rFonts w:hint="eastAsia" w:ascii="仿宋_GB2312" w:hAnsi="仿宋_GB2312" w:eastAsia="仿宋_GB2312" w:cs="仿宋_GB2312"/>
          <w:sz w:val="32"/>
          <w:szCs w:val="32"/>
        </w:rPr>
        <w:t>市监管办按照问题线索分类，确定问题调查工作人员，实行组长负责制。对情况复杂、涉及面广的重大问题线索由各行政监督部门调剂补充专业办案人员，对未列入调查组的监管办其他人员应当协同配合。</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1.一般问题线索调查处理应在15个工作日内完成。需要延长调查时限的，填写《延长调查时限通知书》，报监管办主要负责人批准。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2.调查结束后，由调查组编写调查报告，提出初步处理建议意见，提请监管办会商讨论。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3.监管办收到案件调查组的调查报告后，由监管办负责人召集相关人员对调查结论进行审议。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楷体" w:hAnsi="楷体" w:eastAsia="楷体" w:cs="楷体"/>
          <w:sz w:val="32"/>
          <w:szCs w:val="32"/>
        </w:rPr>
        <w:t>（三）案件会审。</w:t>
      </w:r>
      <w:r>
        <w:rPr>
          <w:rFonts w:hint="eastAsia" w:ascii="仿宋_GB2312" w:hAnsi="仿宋_GB2312" w:eastAsia="仿宋_GB2312" w:cs="仿宋_GB2312"/>
          <w:sz w:val="32"/>
          <w:szCs w:val="32"/>
        </w:rPr>
        <w:t>监管办严格执行案件会审制度，及时收集、分析和汇总综合监管联动执法工作中需要讨论研究的具体问题和重大决策，负责日常会务，起草会议纪要，完成会议交办的其他工作。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监管办负责案件会审议题的收集、会议方案的制定、会议所需材料及会议通知等。会议采取不定期方式召开，会议召集人为监管办主任，或者由主任委托副主任召集。会前通知应提前通知与会人员，因故不能参加会议的，需报监管办主任批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对招投标领域涉嫌违法行为的，由监管办主任召集监管办相关人员参加案审会议，讨论予以立案的违法事实及法律依据，形成统一意见，准予立案的，填写《立案受理表》报综合监管机构或有关行政监督部门审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3.对违法行为查证属实的，由监管办主任召集综合监督管理机构或有关行政监督部门参加案审会议，拟定是否给予违法主体作出行政处罚的建议意见，明确处罚的依据和标准。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4.不定期召开工作会议，通报全省范围内所涉公共资源招投标案件的最新动态，集中学习专业知识和政策法规，讨论研究工作中出现的各种问题。</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楷体" w:hAnsi="楷体" w:eastAsia="楷体" w:cs="楷体"/>
          <w:sz w:val="32"/>
          <w:szCs w:val="32"/>
        </w:rPr>
        <w:t>（四）立案查处。</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1.行政立案</w:t>
      </w:r>
      <w:r>
        <w:rPr>
          <w:rFonts w:hint="eastAsia" w:ascii="仿宋_GB2312" w:hAnsi="仿宋_GB2312" w:eastAsia="仿宋_GB2312" w:cs="仿宋_GB2312"/>
          <w:sz w:val="32"/>
          <w:szCs w:val="32"/>
        </w:rPr>
        <w:t>。对于问题线索初查结果有涉嫌违法事实的，且通过案审会议的，由综合监督管理机构或有关行政监督部门批准立案。</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2.证据复核。</w:t>
      </w:r>
      <w:r>
        <w:rPr>
          <w:rFonts w:hint="eastAsia" w:ascii="仿宋_GB2312" w:hAnsi="仿宋_GB2312" w:eastAsia="仿宋_GB2312" w:cs="仿宋_GB2312"/>
          <w:sz w:val="32"/>
          <w:szCs w:val="32"/>
        </w:rPr>
        <w:t>办案组对初步调查收集的证据进行复核，全面锁定相关证据，形成案件调查报告，报告应载明处理建议。</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3.行政处罚。</w:t>
      </w:r>
      <w:r>
        <w:rPr>
          <w:rFonts w:hint="eastAsia" w:ascii="仿宋_GB2312" w:hAnsi="仿宋_GB2312" w:eastAsia="仿宋_GB2312" w:cs="仿宋_GB2312"/>
          <w:sz w:val="32"/>
          <w:szCs w:val="32"/>
        </w:rPr>
        <w:t>对案审会议通过拟作出行政处罚决定的建议意见，填写《行政处罚审批表》，报综合监督管理机构或有关行政监督部门批准，制作《行政处罚告知书》《行政处罚决定书》 ，由监管办按程序送达当事人。</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4.结果反馈。</w:t>
      </w:r>
      <w:r>
        <w:rPr>
          <w:rFonts w:hint="eastAsia" w:ascii="仿宋_GB2312" w:hAnsi="仿宋_GB2312" w:eastAsia="仿宋_GB2312" w:cs="仿宋_GB2312"/>
          <w:sz w:val="32"/>
          <w:szCs w:val="32"/>
        </w:rPr>
        <w:t>案件办结后，及时将处理结果书面反馈至当事人或有关部门。</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楷体" w:hAnsi="楷体" w:eastAsia="楷体" w:cs="楷体"/>
          <w:sz w:val="32"/>
          <w:szCs w:val="32"/>
        </w:rPr>
        <w:t>（五）信用监管。</w:t>
      </w:r>
      <w:r>
        <w:rPr>
          <w:rFonts w:hint="eastAsia" w:ascii="仿宋_GB2312" w:hAnsi="仿宋_GB2312" w:eastAsia="仿宋_GB2312" w:cs="仿宋_GB2312"/>
          <w:sz w:val="32"/>
          <w:szCs w:val="32"/>
        </w:rPr>
        <w:t>监管办指定专人负责收集行政监督部门依法作出的行政处罚(处理)及信用量化记分信息，1个工作日内在量化系统中填报相关信息，由省公共资源交易监督管理局在“湖北省公共资源招标投标信用信息平台( www.hbcxpt.cn)”上集中公示，同步推送到“信用湖北”( www.hbcredit.gov.cn)网站。监管办协助失信认定部门办理量化计分异议和信用修复等相关事项。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楷体" w:hAnsi="楷体" w:eastAsia="楷体" w:cs="楷体"/>
          <w:sz w:val="32"/>
          <w:szCs w:val="32"/>
        </w:rPr>
        <w:t>（六）案件移送。</w:t>
      </w:r>
      <w:r>
        <w:rPr>
          <w:rFonts w:hint="eastAsia" w:ascii="仿宋_GB2312" w:hAnsi="仿宋_GB2312" w:eastAsia="仿宋_GB2312" w:cs="仿宋_GB2312"/>
          <w:sz w:val="32"/>
          <w:szCs w:val="32"/>
        </w:rPr>
        <w:t>针对招投标领域有违规违纪情形的，由市监管办按程序移送纪检监察部门；对违反刑法规定的，由市监管办按照《公安机关受理行政执法机关移送涉嫌犯罪案件规定》移送公安部门。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四、共享信息，智慧监管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依托湖北省招标投标电子监督平台，建设打造高品质的公共资源交易标后履约监管平台，对招投标全过程实时在线监督、数据共享、全程留痕，以信息化建设为切入点，强化标前、标中、标后全生命周期监管，实现招投标领域数字化、网络化、集成化，提高服务和监管效率。</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楷体" w:hAnsi="楷体" w:eastAsia="楷体" w:cs="楷体"/>
          <w:sz w:val="32"/>
          <w:szCs w:val="32"/>
        </w:rPr>
        <w:t>（一）项目入库。</w:t>
      </w:r>
      <w:r>
        <w:rPr>
          <w:rFonts w:hint="eastAsia" w:ascii="仿宋_GB2312" w:hAnsi="仿宋_GB2312" w:eastAsia="仿宋_GB2312" w:cs="仿宋_GB2312"/>
          <w:sz w:val="32"/>
          <w:szCs w:val="32"/>
        </w:rPr>
        <w:t>区域内依法必须招标工程建设项目统一纳入湖北省招标投标电子监督平台管理，录入全量数据，形成一项目一档案，全程留痕。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楷体" w:hAnsi="楷体" w:eastAsia="楷体" w:cs="楷体"/>
          <w:sz w:val="32"/>
          <w:szCs w:val="32"/>
        </w:rPr>
        <w:t>（二）动态监管。</w:t>
      </w:r>
      <w:r>
        <w:rPr>
          <w:rFonts w:hint="eastAsia" w:ascii="仿宋_GB2312" w:hAnsi="仿宋_GB2312" w:eastAsia="仿宋_GB2312" w:cs="仿宋_GB2312"/>
          <w:sz w:val="32"/>
          <w:szCs w:val="32"/>
        </w:rPr>
        <w:t>监管办每日安排工作人员实行在线监管，按照项目招投标活动进度，分节点从立项、招标、开标、评标、中标、标后履约、竣工验收，推行以项目为单元的全生命周期监管，监管办负责项目数据初期录入，后期预警监控，对问题项目及时管控处理，实现全过程可查询、可追溯、可统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楷体" w:hAnsi="楷体" w:eastAsia="楷体" w:cs="楷体"/>
          <w:sz w:val="32"/>
          <w:szCs w:val="32"/>
        </w:rPr>
        <w:t>（三）数据运用。</w:t>
      </w:r>
      <w:r>
        <w:rPr>
          <w:rFonts w:hint="eastAsia" w:ascii="仿宋_GB2312" w:hAnsi="仿宋_GB2312" w:eastAsia="仿宋_GB2312" w:cs="仿宋_GB2312"/>
          <w:sz w:val="32"/>
          <w:szCs w:val="32"/>
        </w:rPr>
        <w:t>每月由监管办负责人召集行业部门分管领导及相关工作人员参加智慧监管工作例会，针对平台推出的数据进行分析和研判，安排下一步的工作。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五、加强指导，优化服务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楷体" w:hAnsi="楷体" w:eastAsia="楷体" w:cs="楷体"/>
          <w:sz w:val="32"/>
          <w:szCs w:val="32"/>
        </w:rPr>
        <w:t>（一）加强政策宣传。</w:t>
      </w:r>
      <w:r>
        <w:rPr>
          <w:rFonts w:hint="eastAsia" w:ascii="仿宋_GB2312" w:hAnsi="仿宋_GB2312" w:eastAsia="仿宋_GB2312" w:cs="仿宋_GB2312"/>
          <w:sz w:val="32"/>
          <w:szCs w:val="32"/>
        </w:rPr>
        <w:t>主动为公共资源交易市场主体送政策上门，扩大政策知晓度，积极提供法规政策和操作流程业务指导、咨询服务；协助指导招标单位项目标前项目审批管理、招标文件的编制等关键环节，规避因招标文件编制不合理引发的投诉、举报等“雷区”，实现由“企业找政策”向“政策找企业”的根本性转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楷体" w:hAnsi="楷体" w:eastAsia="楷体" w:cs="楷体"/>
          <w:sz w:val="32"/>
          <w:szCs w:val="32"/>
        </w:rPr>
        <w:t>（二）增强市场活力。</w:t>
      </w:r>
      <w:r>
        <w:rPr>
          <w:rFonts w:hint="eastAsia" w:ascii="仿宋_GB2312" w:hAnsi="仿宋_GB2312" w:eastAsia="仿宋_GB2312" w:cs="仿宋_GB2312"/>
          <w:sz w:val="32"/>
          <w:szCs w:val="32"/>
        </w:rPr>
        <w:t>积极帮助企业纾困解难，推行“容缺受理，后置补齐”；推进“评定分离”，压实招标人主体责任，确保项目快速落地；开辟绿色通道，推动应急抢险项目顺利实施；免予“两金”收取，减轻企业资金负担；包容审慎监管，全面优化营商环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楷体" w:hAnsi="楷体" w:eastAsia="楷体" w:cs="楷体"/>
          <w:sz w:val="32"/>
          <w:szCs w:val="32"/>
        </w:rPr>
        <w:t>（三）规范市场行为。</w:t>
      </w:r>
      <w:r>
        <w:rPr>
          <w:rFonts w:hint="eastAsia" w:ascii="仿宋_GB2312" w:hAnsi="仿宋_GB2312" w:eastAsia="仿宋_GB2312" w:cs="仿宋_GB2312"/>
          <w:sz w:val="32"/>
          <w:szCs w:val="32"/>
        </w:rPr>
        <w:t>规范指导投标人投标行为，对投标人不定期开展多种形式以案释法活动；规范招标代理机构执业行为，不定期、随机组织对招投标代理机构进行执业能力测试，加强对招投标代理机构信用管理；规范评标专家管理，广泛宣传和动员政治素质高</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业务能力强的资深专家进入专家库，定期组织专家培训，必要时聘请省、市专家进行授课，全面提升评标专家业务素质。</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pPr>
    </w:p>
    <w:p>
      <w:pPr>
        <w:pStyle w:val="2"/>
      </w:pPr>
    </w:p>
    <w:p>
      <w:pPr>
        <w:pStyle w:val="3"/>
      </w:pPr>
    </w:p>
    <w:p/>
    <w:p>
      <w:pPr>
        <w:pStyle w:val="2"/>
      </w:pPr>
    </w:p>
    <w:p>
      <w:pPr>
        <w:pStyle w:val="3"/>
      </w:pPr>
    </w:p>
    <w:p/>
    <w:p>
      <w:pPr>
        <w:pStyle w:val="2"/>
      </w:pPr>
    </w:p>
    <w:p>
      <w:pPr>
        <w:pStyle w:val="3"/>
      </w:pPr>
    </w:p>
    <w:p/>
    <w:p>
      <w:pPr>
        <w:pStyle w:val="2"/>
      </w:pPr>
    </w:p>
    <w:p>
      <w:pPr>
        <w:pStyle w:val="3"/>
      </w:pPr>
    </w:p>
    <w:p/>
    <w:p>
      <w:pPr>
        <w:pStyle w:val="2"/>
      </w:pPr>
    </w:p>
    <w:p>
      <w:pPr>
        <w:pStyle w:val="3"/>
      </w:pPr>
    </w:p>
    <w:p/>
    <w:p>
      <w:pPr>
        <w:pStyle w:val="2"/>
      </w:pPr>
    </w:p>
    <w:p>
      <w:pPr>
        <w:pStyle w:val="3"/>
      </w:pPr>
    </w:p>
    <w:p/>
    <w:p>
      <w:pPr>
        <w:pStyle w:val="2"/>
      </w:pPr>
    </w:p>
    <w:p>
      <w:pPr>
        <w:pStyle w:val="3"/>
      </w:pPr>
    </w:p>
    <w:p/>
    <w:p>
      <w:pPr>
        <w:pStyle w:val="2"/>
      </w:pPr>
    </w:p>
    <w:p>
      <w:pPr>
        <w:pStyle w:val="3"/>
      </w:pPr>
    </w:p>
    <w:p/>
    <w:p>
      <w:pPr>
        <w:pStyle w:val="2"/>
      </w:pPr>
      <w:bookmarkStart w:id="0" w:name="_GoBack"/>
      <w:bookmarkEnd w:id="0"/>
    </w:p>
    <w:p/>
    <w:tbl>
      <w:tblPr>
        <w:tblStyle w:val="7"/>
        <w:tblpPr w:leftFromText="180" w:rightFromText="180" w:vertAnchor="text" w:horzAnchor="page" w:tblpX="1562" w:tblpY="2227"/>
        <w:tblW w:w="91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25" w:type="dxa"/>
            <w:tcBorders>
              <w:left w:val="nil"/>
              <w:right w:val="nil"/>
            </w:tcBorders>
            <w:noWrap w:val="0"/>
            <w:vAlign w:val="center"/>
          </w:tcPr>
          <w:p>
            <w:pPr>
              <w:snapToGrid w:val="0"/>
              <w:spacing w:line="580" w:lineRule="exact"/>
              <w:rPr>
                <w:rFonts w:hint="eastAsia" w:ascii="仿宋" w:hAnsi="仿宋" w:eastAsia="仿宋"/>
                <w:color w:val="000000"/>
                <w:sz w:val="32"/>
                <w:szCs w:val="32"/>
              </w:rPr>
            </w:pPr>
            <w:r>
              <w:rPr>
                <w:rFonts w:hint="eastAsia" w:ascii="仿宋" w:hAnsi="仿宋" w:eastAsia="仿宋"/>
                <w:color w:val="000000"/>
                <w:w w:val="80"/>
                <w:sz w:val="32"/>
                <w:szCs w:val="32"/>
              </w:rPr>
              <w:t>汉川市</w:t>
            </w:r>
            <w:r>
              <w:rPr>
                <w:rFonts w:hint="eastAsia" w:ascii="仿宋" w:hAnsi="仿宋" w:eastAsia="仿宋"/>
                <w:color w:val="000000"/>
                <w:w w:val="80"/>
                <w:sz w:val="32"/>
                <w:szCs w:val="32"/>
                <w:lang w:eastAsia="zh-CN"/>
              </w:rPr>
              <w:t>公共资源交易</w:t>
            </w:r>
            <w:r>
              <w:rPr>
                <w:rFonts w:hint="eastAsia" w:ascii="仿宋" w:hAnsi="仿宋" w:eastAsia="仿宋"/>
                <w:color w:val="000000"/>
                <w:w w:val="80"/>
                <w:sz w:val="32"/>
                <w:szCs w:val="32"/>
              </w:rPr>
              <w:t>管理</w:t>
            </w:r>
            <w:r>
              <w:rPr>
                <w:rFonts w:hint="eastAsia" w:ascii="仿宋" w:hAnsi="仿宋" w:eastAsia="仿宋"/>
                <w:color w:val="000000"/>
                <w:w w:val="80"/>
                <w:sz w:val="32"/>
                <w:szCs w:val="32"/>
                <w:lang w:eastAsia="zh-CN"/>
              </w:rPr>
              <w:t>委员会办公室</w:t>
            </w:r>
            <w:r>
              <w:rPr>
                <w:rFonts w:hint="eastAsia" w:ascii="仿宋" w:hAnsi="仿宋" w:eastAsia="仿宋"/>
                <w:color w:val="000000"/>
                <w:w w:val="80"/>
                <w:sz w:val="32"/>
                <w:szCs w:val="32"/>
                <w:lang w:val="en-US" w:eastAsia="zh-CN"/>
              </w:rPr>
              <w:t xml:space="preserve">             </w:t>
            </w:r>
            <w:r>
              <w:rPr>
                <w:rFonts w:hint="eastAsia" w:ascii="仿宋" w:hAnsi="仿宋" w:eastAsia="仿宋"/>
                <w:color w:val="000000"/>
                <w:w w:val="80"/>
                <w:sz w:val="32"/>
                <w:szCs w:val="32"/>
              </w:rPr>
              <w:t xml:space="preserve">  202</w:t>
            </w:r>
            <w:r>
              <w:rPr>
                <w:rFonts w:hint="eastAsia" w:ascii="仿宋" w:hAnsi="仿宋" w:eastAsia="仿宋"/>
                <w:color w:val="000000"/>
                <w:w w:val="80"/>
                <w:sz w:val="32"/>
                <w:szCs w:val="32"/>
                <w:lang w:val="en-US" w:eastAsia="zh-CN"/>
              </w:rPr>
              <w:t>3</w:t>
            </w:r>
            <w:r>
              <w:rPr>
                <w:rFonts w:hint="eastAsia" w:ascii="仿宋" w:hAnsi="仿宋" w:eastAsia="仿宋"/>
                <w:color w:val="000000"/>
                <w:w w:val="80"/>
                <w:sz w:val="32"/>
                <w:szCs w:val="32"/>
              </w:rPr>
              <w:t>年</w:t>
            </w:r>
            <w:r>
              <w:rPr>
                <w:rFonts w:hint="eastAsia" w:ascii="仿宋" w:hAnsi="仿宋" w:eastAsia="仿宋"/>
                <w:color w:val="000000"/>
                <w:w w:val="80"/>
                <w:sz w:val="32"/>
                <w:szCs w:val="32"/>
                <w:lang w:val="en-US" w:eastAsia="zh-CN"/>
              </w:rPr>
              <w:t>6</w:t>
            </w:r>
            <w:r>
              <w:rPr>
                <w:rFonts w:hint="eastAsia" w:ascii="仿宋" w:hAnsi="仿宋" w:eastAsia="仿宋"/>
                <w:color w:val="000000"/>
                <w:w w:val="80"/>
                <w:sz w:val="32"/>
                <w:szCs w:val="32"/>
              </w:rPr>
              <w:t>月</w:t>
            </w:r>
            <w:r>
              <w:rPr>
                <w:rFonts w:hint="eastAsia" w:ascii="仿宋" w:hAnsi="仿宋" w:eastAsia="仿宋"/>
                <w:color w:val="000000"/>
                <w:w w:val="80"/>
                <w:sz w:val="32"/>
                <w:szCs w:val="32"/>
                <w:lang w:val="en-US" w:eastAsia="zh-CN"/>
              </w:rPr>
              <w:t>1</w:t>
            </w:r>
            <w:r>
              <w:rPr>
                <w:rFonts w:hint="eastAsia" w:ascii="仿宋" w:hAnsi="仿宋" w:eastAsia="仿宋"/>
                <w:color w:val="000000"/>
                <w:w w:val="80"/>
                <w:sz w:val="32"/>
                <w:szCs w:val="32"/>
              </w:rPr>
              <w:t>日印发</w:t>
            </w:r>
          </w:p>
        </w:tc>
      </w:tr>
    </w:tbl>
    <w:p>
      <w:pPr>
        <w:pStyle w:val="3"/>
        <w:ind w:left="0" w:leftChars="0" w:firstLine="0" w:firstLineChars="0"/>
      </w:pPr>
    </w:p>
    <w:p/>
    <w:p>
      <w:pPr>
        <w:pStyle w:val="2"/>
      </w:pPr>
    </w:p>
    <w:sectPr>
      <w:footerReference r:id="rId3" w:type="default"/>
      <w:pgSz w:w="11906" w:h="16838"/>
      <w:pgMar w:top="2098" w:right="1474" w:bottom="1984" w:left="158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-190500</wp:posOffset>
              </wp:positionV>
              <wp:extent cx="932180" cy="336550"/>
              <wp:effectExtent l="0" t="0" r="0" b="0"/>
              <wp:wrapNone/>
              <wp:docPr id="2" name="文本框 2"/>
              <wp:cNvGraphicFramePr/>
              <a:graphic xmlns:a="http://schemas.openxmlformats.org/drawingml/2006/main">
                <a:graphicData uri="http://schemas.microsoft.com/office/word/2010/wordprocessingShape">
                  <wps:wsp>
                    <wps:cNvSpPr txBox="1"/>
                    <wps:spPr>
                      <a:xfrm>
                        <a:off x="0" y="0"/>
                        <a:ext cx="932180" cy="33655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4"/>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1</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15pt;height:26.5pt;width:73.4pt;mso-position-horizontal:outside;mso-position-horizontal-relative:margin;z-index:251659264;mso-width-relative:page;mso-height-relative:page;" filled="f" stroked="f" coordsize="21600,21600" o:gfxdata="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">
              <v:fill on="f" focussize="0,0"/>
              <v:stroke on="f" weight="0.5pt"/>
              <v:imagedata o:title=""/>
              <o:lock v:ext="edit" aspectratio="f"/>
              <v:textbox inset="0mm,0mm,0mm,0mm">
                <w:txbxContent>
                  <w:p>
                    <w:pPr>
                      <w:pStyle w:val="4"/>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1</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ZjYWM2Y2JlODY4YWZhNDZjZGM1MDgzMDljZWQ5ZmQifQ=="/>
  </w:docVars>
  <w:rsids>
    <w:rsidRoot w:val="0B2C2F27"/>
    <w:rsid w:val="0B2C2F27"/>
    <w:rsid w:val="1FA53108"/>
    <w:rsid w:val="2625031C"/>
    <w:rsid w:val="3E9650EB"/>
    <w:rsid w:val="462C0305"/>
    <w:rsid w:val="49FC54D3"/>
    <w:rsid w:val="55912A20"/>
    <w:rsid w:val="5B024C30"/>
    <w:rsid w:val="5E4F2A66"/>
    <w:rsid w:val="607B54F1"/>
    <w:rsid w:val="64114E92"/>
    <w:rsid w:val="7CB823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3"/>
    <w:next w:val="3"/>
    <w:unhideWhenUsed/>
    <w:qFormat/>
    <w:uiPriority w:val="0"/>
    <w:pPr>
      <w:spacing w:before="100" w:beforeAutospacing="1" w:after="100" w:afterAutospacing="1"/>
      <w:jc w:val="left"/>
      <w:outlineLvl w:val="2"/>
    </w:pPr>
    <w:rPr>
      <w:rFonts w:hint="eastAsia" w:ascii="宋体" w:hAnsi="宋体"/>
      <w:b/>
      <w:kern w:val="0"/>
      <w:sz w:val="27"/>
      <w:szCs w:val="27"/>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table of authorities"/>
    <w:basedOn w:val="1"/>
    <w:next w:val="1"/>
    <w:qFormat/>
    <w:uiPriority w:val="0"/>
    <w:pPr>
      <w:ind w:left="200" w:leftChars="200"/>
    </w:p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uiPriority w:val="0"/>
    <w:rPr>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2958</Words>
  <Characters>2986</Characters>
  <Lines>0</Lines>
  <Paragraphs>0</Paragraphs>
  <TotalTime>5</TotalTime>
  <ScaleCrop>false</ScaleCrop>
  <LinksUpToDate>false</LinksUpToDate>
  <CharactersWithSpaces>3054</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2023-02-14T01:30:00Z</dcterms:created>
  <dc:creator>NTKO</dc:creator>
  <cp:lastModifiedBy>彭道明</cp:lastModifiedBy>
  <cp:lastPrinted>2023-04-10T09:10:00Z</cp:lastPrinted>
  <dcterms:modified xsi:type="dcterms:W3CDTF">2023-06-08T10:19:58Z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148EB2ED9DFB463DA9DF2456ABB4FFC5_13</vt:lpwstr>
  </property>
</Properties>
</file>