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80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b w:val="0"/>
          <w:bCs w:val="0"/>
          <w:spacing w:val="-20"/>
          <w:sz w:val="62"/>
          <w:szCs w:val="62"/>
          <w:lang w:val="en-US" w:eastAsia="zh-CN"/>
        </w:rPr>
      </w:pPr>
    </w:p>
    <w:p>
      <w:pPr>
        <w:keepNext w:val="0"/>
        <w:keepLines w:val="0"/>
        <w:pageBreakBefore w:val="0"/>
        <w:widowControl w:val="0"/>
        <w:kinsoku/>
        <w:wordWrap/>
        <w:overflowPunct/>
        <w:topLinePunct w:val="0"/>
        <w:autoSpaceDE/>
        <w:autoSpaceDN/>
        <w:bidi w:val="0"/>
        <w:adjustRightInd/>
        <w:snapToGrid/>
        <w:spacing w:line="110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b w:val="0"/>
          <w:bCs w:val="0"/>
          <w:spacing w:val="0"/>
          <w:sz w:val="52"/>
          <w:szCs w:val="52"/>
          <w:lang w:val="en-US" w:eastAsia="zh-CN"/>
        </w:rPr>
      </w:pPr>
      <w:r>
        <w:rPr>
          <w:rFonts w:hint="eastAsia" w:ascii="方正小标宋简体" w:hAnsi="方正小标宋简体" w:eastAsia="方正小标宋简体" w:cs="方正小标宋简体"/>
          <w:b w:val="0"/>
          <w:bCs w:val="0"/>
          <w:spacing w:val="-20"/>
          <w:sz w:val="62"/>
          <w:szCs w:val="62"/>
          <w:lang w:val="en-US" w:eastAsia="zh-CN"/>
        </w:rPr>
        <w:t>荆州区公共资源交易监督管理局</w:t>
      </w:r>
    </w:p>
    <w:p>
      <w:pPr>
        <w:keepNext w:val="0"/>
        <w:keepLines w:val="0"/>
        <w:pageBreakBefore w:val="0"/>
        <w:widowControl w:val="0"/>
        <w:kinsoku/>
        <w:wordWrap/>
        <w:overflowPunct/>
        <w:topLinePunct w:val="0"/>
        <w:autoSpaceDE/>
        <w:autoSpaceDN/>
        <w:bidi w:val="0"/>
        <w:adjustRightInd/>
        <w:snapToGrid/>
        <w:spacing w:line="1100" w:lineRule="exact"/>
        <w:ind w:left="0" w:leftChars="0" w:right="0" w:rightChars="0" w:firstLine="0" w:firstLineChars="0"/>
        <w:jc w:val="center"/>
        <w:textAlignment w:val="auto"/>
        <w:outlineLvl w:val="9"/>
        <w:rPr>
          <w:rFonts w:hint="eastAsia" w:ascii="微软雅黑" w:hAnsi="微软雅黑" w:eastAsia="微软雅黑" w:cs="微软雅黑"/>
          <w:b w:val="0"/>
          <w:bCs w:val="0"/>
          <w:sz w:val="52"/>
          <w:szCs w:val="52"/>
          <w:lang w:val="en-US" w:eastAsia="zh-CN"/>
        </w:rPr>
      </w:pPr>
      <w:r>
        <w:rPr>
          <w:rFonts w:hint="eastAsia" w:ascii="方正小标宋简体" w:hAnsi="方正小标宋简体" w:eastAsia="方正小标宋简体" w:cs="方正小标宋简体"/>
          <w:b w:val="0"/>
          <w:bCs w:val="0"/>
          <w:spacing w:val="-20"/>
          <w:sz w:val="62"/>
          <w:szCs w:val="62"/>
          <w:lang w:val="en-US" w:eastAsia="zh-CN"/>
        </w:rPr>
        <w:t>工作指引</w:t>
      </w:r>
    </w:p>
    <w:p>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0" w:firstLineChars="0"/>
        <w:jc w:val="center"/>
        <w:textAlignment w:val="auto"/>
        <w:outlineLvl w:val="9"/>
        <w:rPr>
          <w:rFonts w:hint="eastAsia" w:ascii="仿宋_GB2312" w:hAnsi="仿宋_GB2312" w:eastAsia="仿宋_GB2312" w:cs="仿宋_GB2312"/>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〔2023〕3号</w:t>
      </w:r>
    </w:p>
    <w:p>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sz w:val="28"/>
          <w:szCs w:val="28"/>
          <w:lang w:val="en-US" w:eastAsia="zh-CN"/>
        </w:rPr>
      </w:pPr>
      <w:r>
        <w:rPr>
          <w:sz w:val="28"/>
        </w:rPr>
        <mc:AlternateContent>
          <mc:Choice Requires="wps">
            <w:drawing>
              <wp:anchor distT="0" distB="0" distL="114300" distR="114300" simplePos="0" relativeHeight="251659264" behindDoc="0" locked="0" layoutInCell="1" allowOverlap="1">
                <wp:simplePos x="0" y="0"/>
                <wp:positionH relativeFrom="column">
                  <wp:posOffset>65405</wp:posOffset>
                </wp:positionH>
                <wp:positionV relativeFrom="paragraph">
                  <wp:posOffset>387985</wp:posOffset>
                </wp:positionV>
                <wp:extent cx="5274945" cy="6350"/>
                <wp:effectExtent l="0" t="0" r="0" b="0"/>
                <wp:wrapNone/>
                <wp:docPr id="1" name="直接连接符 1"/>
                <wp:cNvGraphicFramePr/>
                <a:graphic xmlns:a="http://schemas.openxmlformats.org/drawingml/2006/main">
                  <a:graphicData uri="http://schemas.microsoft.com/office/word/2010/wordprocessingShape">
                    <wps:wsp>
                      <wps:cNvCnPr/>
                      <wps:spPr>
                        <a:xfrm>
                          <a:off x="1175385" y="2407920"/>
                          <a:ext cx="5274945" cy="63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id="_x0000_s1026" o:spid="_x0000_s1026" o:spt="20" style="position:absolute;left:0pt;margin-left:5.15pt;margin-top:30.55pt;height:0.5pt;width:415.35pt;z-index:251659264;mso-width-relative:page;mso-height-relative:page;" filled="f" stroked="t" coordsize="21600,21600" o:gfxdata="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2TBZz9cAAAAIAQAADwAAAAAAAAABACAAAAAiAAAAZHJzL2Rvd25yZXYueG1sUEsBAhQA&#10;FAAAAAgAh07iQBSVPtvzAQAAwQMAAA4AAAAAAAAAAQAgAAAAJgEAAGRycy9lMm9Eb2MueG1sUEsF&#10;BgAAAAAGAAYAWQEAAIsFAAAAAA==&#10;">
                <v:fill on="f" focussize="0,0"/>
                <v:stroke weight="1.5pt" color="#000000 [3200]" miterlimit="8" joinstyle="miter"/>
                <v:imagedata o:title=""/>
                <o:lock v:ext="edit" aspectratio="f"/>
              </v:line>
            </w:pict>
          </mc:Fallback>
        </mc:AlternateContent>
      </w:r>
      <w:r>
        <w:rPr>
          <w:rFonts w:hint="eastAsia" w:ascii="仿宋_GB2312" w:hAnsi="仿宋_GB2312" w:eastAsia="仿宋_GB2312" w:cs="仿宋_GB2312"/>
          <w:sz w:val="28"/>
          <w:szCs w:val="28"/>
          <w:lang w:val="en-US" w:eastAsia="zh-CN"/>
        </w:rPr>
        <w:t xml:space="preserve">                                            2022年5月30日</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720" w:firstLineChars="200"/>
        <w:jc w:val="center"/>
        <w:textAlignment w:val="auto"/>
        <w:outlineLvl w:val="9"/>
        <w:rPr>
          <w:rFonts w:hint="eastAsia" w:ascii="楷体_GB2312" w:hAnsi="楷体_GB2312" w:eastAsia="楷体_GB2312" w:cs="楷体_GB2312"/>
          <w:sz w:val="36"/>
          <w:szCs w:val="36"/>
          <w:lang w:val="en-US" w:eastAsia="zh-CN"/>
        </w:rPr>
      </w:pPr>
    </w:p>
    <w:p>
      <w:pPr>
        <w:bidi w:val="0"/>
        <w:jc w:val="center"/>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关于深化“评定分离”改革的指导意见</w:t>
      </w:r>
    </w:p>
    <w:p>
      <w:pPr>
        <w:bidi w:val="0"/>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540" w:lineRule="exact"/>
        <w:ind w:firstLine="800" w:firstLineChars="25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2022年房屋建筑和市政基础设施工程领域</w:t>
      </w:r>
      <w:r>
        <w:rPr>
          <w:rFonts w:hint="eastAsia" w:ascii="仿宋_GB2312" w:hAnsi="仿宋_GB2312" w:eastAsia="仿宋_GB2312" w:cs="仿宋_GB2312"/>
          <w:sz w:val="32"/>
          <w:szCs w:val="32"/>
          <w:lang w:eastAsia="zh-CN"/>
        </w:rPr>
        <w:t>招标投标“评定分离”改革的</w:t>
      </w:r>
      <w:r>
        <w:rPr>
          <w:rFonts w:hint="eastAsia" w:ascii="仿宋_GB2312" w:hAnsi="仿宋_GB2312" w:eastAsia="仿宋_GB2312" w:cs="仿宋_GB2312"/>
          <w:sz w:val="32"/>
          <w:szCs w:val="32"/>
          <w:lang w:val="en-US" w:eastAsia="zh-CN"/>
        </w:rPr>
        <w:t>试行</w:t>
      </w:r>
      <w:r>
        <w:rPr>
          <w:rFonts w:hint="eastAsia" w:ascii="仿宋_GB2312" w:hAnsi="仿宋_GB2312" w:eastAsia="仿宋_GB2312" w:cs="仿宋_GB2312"/>
          <w:sz w:val="32"/>
          <w:szCs w:val="32"/>
          <w:lang w:eastAsia="zh-CN"/>
        </w:rPr>
        <w:t>，对优化</w:t>
      </w:r>
      <w:r>
        <w:rPr>
          <w:rFonts w:hint="eastAsia" w:ascii="仿宋_GB2312" w:hAnsi="仿宋_GB2312" w:eastAsia="仿宋_GB2312" w:cs="仿宋_GB2312"/>
          <w:sz w:val="32"/>
          <w:szCs w:val="32"/>
          <w:lang w:val="en-US" w:eastAsia="zh-CN"/>
        </w:rPr>
        <w:t>我区招标投标领域营商环境起到了积极的作用，得到了各市场主体的认同</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根据省、市公管局工作部署，结合我区实际，现就进一步深化“评定分离”改革作如下建议：</w:t>
      </w:r>
    </w:p>
    <w:p>
      <w:pPr>
        <w:keepNext w:val="0"/>
        <w:keepLines w:val="0"/>
        <w:pageBreakBefore w:val="0"/>
        <w:widowControl w:val="0"/>
        <w:kinsoku/>
        <w:wordWrap/>
        <w:overflowPunct/>
        <w:topLinePunct w:val="0"/>
        <w:autoSpaceDE/>
        <w:autoSpaceDN/>
        <w:bidi w:val="0"/>
        <w:adjustRightInd/>
        <w:snapToGrid/>
        <w:spacing w:line="540" w:lineRule="exact"/>
        <w:ind w:firstLine="803" w:firstLineChars="250"/>
        <w:textAlignment w:val="auto"/>
        <w:rPr>
          <w:rFonts w:hint="eastAsia" w:ascii="仿宋_GB2312" w:hAnsi="仿宋_GB2312" w:eastAsia="仿宋_GB2312" w:cs="仿宋_GB2312"/>
          <w:sz w:val="32"/>
          <w:szCs w:val="32"/>
          <w:lang w:eastAsia="zh-CN"/>
        </w:rPr>
      </w:pPr>
      <w:r>
        <w:rPr>
          <w:rFonts w:hint="eastAsia" w:ascii="楷体_GB2312" w:hAnsi="楷体_GB2312" w:eastAsia="楷体_GB2312" w:cs="楷体_GB2312"/>
          <w:b/>
          <w:bCs/>
          <w:sz w:val="32"/>
          <w:szCs w:val="32"/>
          <w:lang w:val="en-US" w:eastAsia="zh-CN"/>
        </w:rPr>
        <w:t>1.继续稳妥推进房屋建筑和市政基础设施工程领域</w:t>
      </w:r>
      <w:r>
        <w:rPr>
          <w:rFonts w:hint="eastAsia" w:ascii="楷体_GB2312" w:hAnsi="楷体_GB2312" w:eastAsia="楷体_GB2312" w:cs="楷体_GB2312"/>
          <w:b/>
          <w:bCs/>
          <w:sz w:val="32"/>
          <w:szCs w:val="32"/>
          <w:lang w:eastAsia="zh-CN"/>
        </w:rPr>
        <w:t>招标投标“评定分离”改革</w:t>
      </w:r>
      <w:r>
        <w:rPr>
          <w:rFonts w:hint="eastAsia" w:ascii="楷体_GB2312" w:hAnsi="楷体_GB2312" w:eastAsia="楷体_GB2312" w:cs="楷体_GB2312"/>
          <w:sz w:val="32"/>
          <w:szCs w:val="32"/>
          <w:lang w:eastAsia="zh-CN"/>
        </w:rPr>
        <w:t>。</w:t>
      </w:r>
      <w:r>
        <w:rPr>
          <w:rFonts w:hint="eastAsia" w:ascii="仿宋_GB2312" w:hAnsi="仿宋_GB2312" w:eastAsia="仿宋_GB2312" w:cs="仿宋_GB2312"/>
          <w:sz w:val="32"/>
          <w:szCs w:val="32"/>
          <w:lang w:eastAsia="zh-CN"/>
        </w:rPr>
        <w:t>所有涉及政府投资建设的依法必须招标的房屋建筑和市政基础设施施工项目，全部实行“评定分离”。因特殊情况需要采用其他方式的，须报监督管理部门同意。</w:t>
      </w:r>
    </w:p>
    <w:p>
      <w:pPr>
        <w:keepNext w:val="0"/>
        <w:keepLines w:val="0"/>
        <w:pageBreakBefore w:val="0"/>
        <w:widowControl w:val="0"/>
        <w:kinsoku/>
        <w:wordWrap/>
        <w:overflowPunct/>
        <w:topLinePunct w:val="0"/>
        <w:autoSpaceDE/>
        <w:autoSpaceDN/>
        <w:bidi w:val="0"/>
        <w:adjustRightInd/>
        <w:snapToGrid/>
        <w:spacing w:line="540" w:lineRule="exact"/>
        <w:ind w:firstLine="803" w:firstLineChars="25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2.全域试行招投标领域“评定分离”改革。</w:t>
      </w:r>
      <w:r>
        <w:rPr>
          <w:rFonts w:hint="eastAsia" w:ascii="仿宋_GB2312" w:hAnsi="仿宋_GB2312" w:eastAsia="仿宋_GB2312" w:cs="仿宋_GB2312"/>
          <w:sz w:val="32"/>
          <w:szCs w:val="32"/>
          <w:lang w:val="en-US" w:eastAsia="zh-CN"/>
        </w:rPr>
        <w:t>将房建市政领域“评定分离”改革试点工作经验向水利水电、交通运输、高标准农田治理等领域扩展延伸。相关定标工作参照《湖北省</w:t>
      </w:r>
      <w:r>
        <w:rPr>
          <w:rFonts w:hint="eastAsia" w:ascii="仿宋_GB2312" w:hAnsi="仿宋_GB2312" w:eastAsia="仿宋_GB2312" w:cs="仿宋_GB2312"/>
          <w:sz w:val="32"/>
          <w:szCs w:val="32"/>
          <w:lang w:eastAsia="zh-CN"/>
        </w:rPr>
        <w:t>房屋建筑和市政基础设施工程“评定分离”定标工作指南</w:t>
      </w:r>
      <w:r>
        <w:rPr>
          <w:rFonts w:hint="eastAsia" w:ascii="仿宋_GB2312" w:hAnsi="仿宋_GB2312" w:eastAsia="仿宋_GB2312" w:cs="仿宋_GB2312"/>
          <w:sz w:val="32"/>
          <w:szCs w:val="32"/>
          <w:lang w:val="en-US" w:eastAsia="zh-CN"/>
        </w:rPr>
        <w:t>》执行。</w:t>
      </w:r>
    </w:p>
    <w:p>
      <w:pPr>
        <w:keepNext w:val="0"/>
        <w:keepLines w:val="0"/>
        <w:pageBreakBefore w:val="0"/>
        <w:widowControl w:val="0"/>
        <w:kinsoku/>
        <w:wordWrap/>
        <w:overflowPunct/>
        <w:topLinePunct w:val="0"/>
        <w:autoSpaceDE/>
        <w:autoSpaceDN/>
        <w:bidi w:val="0"/>
        <w:adjustRightInd/>
        <w:snapToGrid/>
        <w:spacing w:line="540" w:lineRule="exact"/>
        <w:ind w:firstLine="803" w:firstLineChars="25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3.强化招标人主体责任。</w:t>
      </w:r>
      <w:r>
        <w:rPr>
          <w:rFonts w:hint="eastAsia" w:ascii="仿宋_GB2312" w:hAnsi="仿宋_GB2312" w:eastAsia="仿宋_GB2312" w:cs="仿宋_GB2312"/>
          <w:sz w:val="32"/>
          <w:szCs w:val="32"/>
          <w:lang w:val="en-US" w:eastAsia="zh-CN"/>
        </w:rPr>
        <w:t>依法经项目审批、核准部门确定的招标范围、招标方式、招标组织形式，未经批准不</w:t>
      </w:r>
      <w:bookmarkStart w:id="0" w:name="_GoBack"/>
      <w:bookmarkEnd w:id="0"/>
      <w:r>
        <w:rPr>
          <w:rFonts w:hint="eastAsia" w:ascii="仿宋_GB2312" w:hAnsi="仿宋_GB2312" w:eastAsia="仿宋_GB2312" w:cs="仿宋_GB2312"/>
          <w:sz w:val="32"/>
          <w:szCs w:val="32"/>
          <w:lang w:val="en-US" w:eastAsia="zh-CN"/>
        </w:rPr>
        <w:t>得随意变更。在推广实施“评定分离”过程中，要认真落实保护中小企业的相关政策措施，注重考察中标候选人企业信用信息状况，不得借“评定分离”影响市场公平竞争。</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Theme="minorEastAsia"/>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snapToGrid w:val="0"/>
                      <w:rPr>
                        <w:rFonts w:hint="eastAsia" w:eastAsiaTheme="minorEastAsia"/>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c4NDc2YTRiMjAzMWY3OTlmMThlMWNlNWRkZjBjZjEifQ=="/>
  </w:docVars>
  <w:rsids>
    <w:rsidRoot w:val="6FEE47B5"/>
    <w:rsid w:val="090D0423"/>
    <w:rsid w:val="0B7E592B"/>
    <w:rsid w:val="0E4F5C5B"/>
    <w:rsid w:val="21E17105"/>
    <w:rsid w:val="2A6F56F9"/>
    <w:rsid w:val="2D866519"/>
    <w:rsid w:val="35A057FF"/>
    <w:rsid w:val="35A27C55"/>
    <w:rsid w:val="483D40CA"/>
    <w:rsid w:val="4BE25793"/>
    <w:rsid w:val="4D7A1ED8"/>
    <w:rsid w:val="4FA953CF"/>
    <w:rsid w:val="525741DE"/>
    <w:rsid w:val="5FAA5F87"/>
    <w:rsid w:val="5FD053D7"/>
    <w:rsid w:val="677C0627"/>
    <w:rsid w:val="688519F3"/>
    <w:rsid w:val="6A0A31C1"/>
    <w:rsid w:val="6FEE47B5"/>
    <w:rsid w:val="724A30E3"/>
    <w:rsid w:val="753C0141"/>
    <w:rsid w:val="761F7B92"/>
    <w:rsid w:val="78510853"/>
    <w:rsid w:val="7A8224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character" w:styleId="9">
    <w:name w:val="Hyperlink"/>
    <w:basedOn w:val="8"/>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495</Words>
  <Characters>508</Characters>
  <Lines>0</Lines>
  <Paragraphs>0</Paragraphs>
  <TotalTime>1196</TotalTime>
  <ScaleCrop>false</ScaleCrop>
  <LinksUpToDate>false</LinksUpToDate>
  <CharactersWithSpaces>552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2022-04-21T06:34:00Z</dcterms:created>
  <dc:creator>A_Yahoo</dc:creator>
  <cp:lastModifiedBy>鲸鲸鲸_fish</cp:lastModifiedBy>
  <cp:lastPrinted>2023-05-30T06:41:00Z</cp:lastPrinted>
  <dcterms:modified xsi:type="dcterms:W3CDTF">2023-05-31T02:52:47Z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BFCD3F13325F4F50AB49AC917023C86F_13</vt:lpwstr>
  </property>
</Properties>
</file>