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eastAsia="zh-CN"/>
        </w:rPr>
        <w:drawing>
          <wp:anchor distT="0" distB="0" distL="114300" distR="114300" simplePos="0" relativeHeight="251660288" behindDoc="1" locked="0" layoutInCell="1" allowOverlap="1">
            <wp:simplePos x="0" y="0"/>
            <wp:positionH relativeFrom="column">
              <wp:posOffset>-1028700</wp:posOffset>
            </wp:positionH>
            <wp:positionV relativeFrom="paragraph">
              <wp:posOffset>-1289050</wp:posOffset>
            </wp:positionV>
            <wp:extent cx="7560310" cy="5482590"/>
            <wp:effectExtent l="0" t="0" r="0" b="0"/>
            <wp:wrapNone/>
            <wp:docPr id="4" name="图片 4" descr="A4联合发文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A4联合发文1  "/>
                    <pic:cNvPicPr>
                      <a:picLocks noChangeAspect="1"/>
                    </pic:cNvPicPr>
                  </pic:nvPicPr>
                  <pic:blipFill>
                    <a:blip r:embed="rId5"/>
                    <a:stretch>
                      <a:fillRect/>
                    </a:stretch>
                  </pic:blipFill>
                  <pic:spPr>
                    <a:xfrm>
                      <a:off x="0" y="0"/>
                      <a:ext cx="7560310" cy="5482590"/>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仿宋" w:hAnsi="仿宋" w:eastAsia="仿宋" w:cs="仿宋"/>
          <w:sz w:val="32"/>
          <w:szCs w:val="32"/>
          <w:lang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随县</w:t>
      </w:r>
      <w:r>
        <w:rPr>
          <w:rFonts w:hint="eastAsia" w:ascii="仿宋" w:hAnsi="仿宋" w:eastAsia="仿宋" w:cs="仿宋"/>
          <w:sz w:val="32"/>
          <w:szCs w:val="32"/>
        </w:rPr>
        <w:t>公管文〔</w:t>
      </w:r>
      <w:r>
        <w:rPr>
          <w:rFonts w:hint="eastAsia" w:ascii="仿宋" w:hAnsi="仿宋" w:eastAsia="仿宋" w:cs="仿宋"/>
          <w:sz w:val="32"/>
          <w:szCs w:val="32"/>
          <w:lang w:val="en-US" w:eastAsia="zh-CN"/>
        </w:rPr>
        <w:t>2022</w:t>
      </w:r>
      <w:r>
        <w:rPr>
          <w:rFonts w:hint="eastAsia" w:ascii="仿宋" w:hAnsi="仿宋" w:eastAsia="仿宋" w:cs="仿宋"/>
          <w:sz w:val="32"/>
          <w:szCs w:val="32"/>
        </w:rPr>
        <w:t>〕</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号</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Theme="majorEastAsia" w:hAnsiTheme="majorEastAsia" w:eastAsiaTheme="majorEastAsia" w:cstheme="majorEastAsia"/>
          <w:b/>
          <w:bCs/>
          <w:sz w:val="44"/>
          <w:szCs w:val="44"/>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关于印发</w:t>
      </w:r>
      <w:r>
        <w:rPr>
          <w:rFonts w:hint="eastAsia" w:asciiTheme="majorEastAsia" w:hAnsiTheme="majorEastAsia" w:eastAsiaTheme="majorEastAsia" w:cstheme="majorEastAsia"/>
          <w:b/>
          <w:bCs/>
          <w:sz w:val="44"/>
          <w:szCs w:val="44"/>
          <w:lang w:val="en-US" w:eastAsia="zh-CN"/>
        </w:rPr>
        <w:t>随县</w:t>
      </w:r>
      <w:r>
        <w:rPr>
          <w:rFonts w:hint="eastAsia" w:asciiTheme="majorEastAsia" w:hAnsiTheme="majorEastAsia" w:eastAsiaTheme="majorEastAsia" w:cstheme="majorEastAsia"/>
          <w:b/>
          <w:bCs/>
          <w:sz w:val="44"/>
          <w:szCs w:val="44"/>
        </w:rPr>
        <w:t>房屋建筑和市政基础设施工程招标投标“评定分离”改革实施办法(试行)的</w:t>
      </w:r>
    </w:p>
    <w:p>
      <w:pPr>
        <w:keepNext w:val="0"/>
        <w:keepLines w:val="0"/>
        <w:pageBreakBefore w:val="0"/>
        <w:widowControl w:val="0"/>
        <w:kinsoku/>
        <w:wordWrap/>
        <w:overflowPunct/>
        <w:topLinePunct w:val="0"/>
        <w:autoSpaceDE/>
        <w:autoSpaceDN/>
        <w:bidi w:val="0"/>
        <w:adjustRightInd/>
        <w:snapToGrid/>
        <w:spacing w:line="580" w:lineRule="exact"/>
        <w:ind w:firstLine="883" w:firstLineChars="200"/>
        <w:jc w:val="center"/>
        <w:textAlignment w:val="auto"/>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通知</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 w:hAnsi="仿宋" w:eastAsia="仿宋" w:cs="仿宋"/>
          <w:sz w:val="32"/>
          <w:szCs w:val="32"/>
        </w:rPr>
      </w:pPr>
      <w:r>
        <w:rPr>
          <w:rFonts w:hint="eastAsia" w:ascii="仿宋" w:hAnsi="仿宋" w:eastAsia="仿宋" w:cs="仿宋"/>
          <w:sz w:val="32"/>
          <w:szCs w:val="32"/>
        </w:rPr>
        <w:t>各镇人民政府，经济开发区管委会，</w:t>
      </w:r>
      <w:r>
        <w:rPr>
          <w:rFonts w:hint="eastAsia" w:ascii="仿宋" w:hAnsi="仿宋" w:eastAsia="仿宋" w:cs="仿宋"/>
          <w:sz w:val="32"/>
          <w:szCs w:val="32"/>
          <w:lang w:val="en-US" w:eastAsia="zh-CN"/>
        </w:rPr>
        <w:t>县</w:t>
      </w:r>
      <w:r>
        <w:rPr>
          <w:rFonts w:hint="eastAsia" w:ascii="仿宋" w:hAnsi="仿宋" w:eastAsia="仿宋" w:cs="仿宋"/>
          <w:sz w:val="32"/>
          <w:szCs w:val="32"/>
        </w:rPr>
        <w:t xml:space="preserve">政府各部门： </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为贯彻落实《省人民政府办公厅关于印发持续深化一流营商环境建设若干措施的通知》（鄂政办发〔 2022〕2号）和省公共资源交易管理委员会《持续深化全省公共资源交易领域一流营商环境建设措施》（鄂公管委发〔2022〕1号）的相关要求，现将 《</w:t>
      </w:r>
      <w:r>
        <w:rPr>
          <w:rFonts w:hint="eastAsia" w:ascii="仿宋" w:hAnsi="仿宋" w:eastAsia="仿宋" w:cs="仿宋"/>
          <w:sz w:val="32"/>
          <w:szCs w:val="32"/>
          <w:lang w:val="en-US" w:eastAsia="zh-CN"/>
        </w:rPr>
        <w:t>随县</w:t>
      </w:r>
      <w:r>
        <w:rPr>
          <w:rFonts w:hint="eastAsia" w:ascii="仿宋" w:hAnsi="仿宋" w:eastAsia="仿宋" w:cs="仿宋"/>
          <w:sz w:val="32"/>
          <w:szCs w:val="32"/>
        </w:rPr>
        <w:t>房屋建筑和市政基础设施工程招标投标“评定分离”改革实施办法(试行)》印发给你们，请结合本地实际落实。</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随县</w:t>
      </w:r>
      <w:r>
        <w:rPr>
          <w:rFonts w:hint="eastAsia" w:ascii="仿宋" w:hAnsi="仿宋" w:eastAsia="仿宋" w:cs="仿宋"/>
          <w:sz w:val="32"/>
          <w:szCs w:val="32"/>
        </w:rPr>
        <w:t>公共资源交易</w:t>
      </w:r>
      <w:r>
        <w:rPr>
          <w:rFonts w:hint="eastAsia" w:ascii="仿宋" w:hAnsi="仿宋" w:eastAsia="仿宋" w:cs="仿宋"/>
          <w:sz w:val="32"/>
          <w:szCs w:val="32"/>
          <w:lang w:val="en-US" w:eastAsia="zh-CN"/>
        </w:rPr>
        <w:t>监督管理局</w:t>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随县</w:t>
      </w:r>
      <w:r>
        <w:rPr>
          <w:rFonts w:hint="eastAsia" w:ascii="仿宋" w:hAnsi="仿宋" w:eastAsia="仿宋" w:cs="仿宋"/>
          <w:sz w:val="32"/>
          <w:szCs w:val="32"/>
        </w:rPr>
        <w:t>发展和改革</w:t>
      </w:r>
      <w:r>
        <w:rPr>
          <w:rFonts w:hint="eastAsia" w:ascii="仿宋" w:hAnsi="仿宋" w:eastAsia="仿宋" w:cs="仿宋"/>
          <w:sz w:val="32"/>
          <w:szCs w:val="32"/>
          <w:lang w:val="en-US" w:eastAsia="zh-CN"/>
        </w:rPr>
        <w:t>局</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随县</w:t>
      </w:r>
      <w:r>
        <w:rPr>
          <w:rFonts w:hint="eastAsia" w:ascii="仿宋" w:hAnsi="仿宋" w:eastAsia="仿宋" w:cs="仿宋"/>
          <w:sz w:val="32"/>
          <w:szCs w:val="32"/>
        </w:rPr>
        <w:t>住房和城乡建设局</w:t>
      </w:r>
      <w:r>
        <w:rPr>
          <w:rFonts w:hint="eastAsia" w:ascii="仿宋" w:hAnsi="仿宋" w:eastAsia="仿宋" w:cs="仿宋"/>
          <w:sz w:val="32"/>
          <w:szCs w:val="32"/>
          <w:lang w:val="en-US" w:eastAsia="zh-CN"/>
        </w:rPr>
        <w:t xml:space="preserve">              随县</w:t>
      </w:r>
      <w:r>
        <w:rPr>
          <w:rFonts w:hint="eastAsia" w:ascii="仿宋" w:hAnsi="仿宋" w:eastAsia="仿宋" w:cs="仿宋"/>
          <w:sz w:val="32"/>
          <w:szCs w:val="32"/>
        </w:rPr>
        <w:t>公共资源交易中心</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firstLine="4480" w:firstLineChars="1400"/>
        <w:textAlignment w:val="auto"/>
        <w:rPr>
          <w:rFonts w:hint="default" w:ascii="仿宋" w:hAnsi="仿宋" w:eastAsia="仿宋" w:cs="仿宋"/>
          <w:sz w:val="32"/>
          <w:szCs w:val="32"/>
          <w:lang w:val="en-US" w:eastAsia="zh-CN"/>
        </w:rPr>
      </w:pPr>
      <w:r>
        <w:rPr>
          <w:rFonts w:hint="eastAsia" w:ascii="仿宋" w:hAnsi="仿宋" w:eastAsia="仿宋" w:cs="仿宋"/>
          <w:sz w:val="32"/>
          <w:szCs w:val="32"/>
        </w:rPr>
        <w:t xml:space="preserve"> 2022年</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月</w:t>
      </w:r>
      <w:r>
        <w:rPr>
          <w:rFonts w:hint="eastAsia" w:ascii="仿宋" w:hAnsi="仿宋" w:eastAsia="仿宋" w:cs="仿宋"/>
          <w:sz w:val="32"/>
          <w:szCs w:val="32"/>
          <w:lang w:val="en-US" w:eastAsia="zh-CN"/>
        </w:rPr>
        <w:t xml:space="preserve">  日</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宋体" w:hAnsi="宋体" w:eastAsia="宋体" w:cs="宋体"/>
          <w:b/>
          <w:bCs/>
          <w:sz w:val="42"/>
          <w:szCs w:val="4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宋体" w:hAnsi="宋体" w:eastAsia="宋体" w:cs="宋体"/>
          <w:b/>
          <w:bCs/>
          <w:sz w:val="42"/>
          <w:szCs w:val="4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宋体" w:hAnsi="宋体" w:eastAsia="宋体" w:cs="宋体"/>
          <w:b/>
          <w:bCs/>
          <w:sz w:val="42"/>
          <w:szCs w:val="4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宋体" w:hAnsi="宋体" w:eastAsia="宋体" w:cs="宋体"/>
          <w:b/>
          <w:bCs/>
          <w:sz w:val="42"/>
          <w:szCs w:val="4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宋体" w:hAnsi="宋体" w:eastAsia="宋体" w:cs="宋体"/>
          <w:b/>
          <w:bCs/>
          <w:sz w:val="42"/>
          <w:szCs w:val="4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宋体" w:hAnsi="宋体" w:eastAsia="宋体" w:cs="宋体"/>
          <w:b/>
          <w:bCs/>
          <w:sz w:val="42"/>
          <w:szCs w:val="4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宋体" w:hAnsi="宋体" w:eastAsia="宋体" w:cs="宋体"/>
          <w:b/>
          <w:bCs/>
          <w:sz w:val="42"/>
          <w:szCs w:val="4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宋体" w:hAnsi="宋体" w:eastAsia="宋体" w:cs="宋体"/>
          <w:b/>
          <w:bCs/>
          <w:sz w:val="42"/>
          <w:szCs w:val="4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宋体" w:hAnsi="宋体" w:eastAsia="宋体" w:cs="宋体"/>
          <w:b/>
          <w:bCs/>
          <w:sz w:val="42"/>
          <w:szCs w:val="4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宋体" w:hAnsi="宋体" w:eastAsia="宋体" w:cs="宋体"/>
          <w:b/>
          <w:bCs/>
          <w:sz w:val="42"/>
          <w:szCs w:val="4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422" w:firstLineChars="100"/>
        <w:jc w:val="both"/>
        <w:textAlignment w:val="auto"/>
        <w:rPr>
          <w:rFonts w:hint="eastAsia" w:ascii="宋体" w:hAnsi="宋体" w:eastAsia="宋体" w:cs="宋体"/>
          <w:b/>
          <w:bCs/>
          <w:sz w:val="42"/>
          <w:szCs w:val="42"/>
        </w:rPr>
      </w:pPr>
      <w:r>
        <w:rPr>
          <w:rFonts w:hint="eastAsia" w:ascii="宋体" w:hAnsi="宋体" w:eastAsia="宋体" w:cs="宋体"/>
          <w:b/>
          <w:bCs/>
          <w:sz w:val="42"/>
          <w:szCs w:val="42"/>
          <w:lang w:val="en-US" w:eastAsia="zh-CN"/>
        </w:rPr>
        <w:t>随县</w:t>
      </w:r>
      <w:r>
        <w:rPr>
          <w:rFonts w:hint="eastAsia" w:ascii="宋体" w:hAnsi="宋体" w:eastAsia="宋体" w:cs="宋体"/>
          <w:b/>
          <w:bCs/>
          <w:sz w:val="42"/>
          <w:szCs w:val="42"/>
        </w:rPr>
        <w:t>房屋建筑和市政基础设施工程招标投标</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宋体" w:hAnsi="宋体" w:eastAsia="宋体" w:cs="宋体"/>
          <w:b/>
          <w:bCs/>
          <w:sz w:val="42"/>
          <w:szCs w:val="42"/>
        </w:rPr>
      </w:pPr>
      <w:r>
        <w:rPr>
          <w:rFonts w:hint="eastAsia" w:ascii="宋体" w:hAnsi="宋体" w:eastAsia="宋体" w:cs="宋体"/>
          <w:b/>
          <w:bCs/>
          <w:sz w:val="42"/>
          <w:szCs w:val="42"/>
        </w:rPr>
        <w:t>“评定分离”改革实施办法</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lang w:eastAsia="zh-CN"/>
        </w:rPr>
        <w:t>（</w:t>
      </w:r>
      <w:r>
        <w:rPr>
          <w:rFonts w:hint="eastAsia" w:ascii="方正楷体_GBK" w:hAnsi="方正楷体_GBK" w:eastAsia="方正楷体_GBK" w:cs="方正楷体_GBK"/>
          <w:sz w:val="32"/>
          <w:szCs w:val="32"/>
        </w:rPr>
        <w:t>试</w:t>
      </w:r>
      <w:r>
        <w:rPr>
          <w:rFonts w:hint="eastAsia" w:ascii="方正楷体_GBK" w:hAnsi="方正楷体_GBK" w:eastAsia="方正楷体_GBK" w:cs="方正楷体_GBK"/>
          <w:sz w:val="32"/>
          <w:szCs w:val="32"/>
          <w:lang w:val="en-US" w:eastAsia="zh-CN"/>
        </w:rPr>
        <w:t xml:space="preserve"> </w:t>
      </w:r>
      <w:r>
        <w:rPr>
          <w:rFonts w:hint="eastAsia" w:ascii="方正楷体_GBK" w:hAnsi="方正楷体_GBK" w:eastAsia="方正楷体_GBK" w:cs="方正楷体_GBK"/>
          <w:sz w:val="32"/>
          <w:szCs w:val="32"/>
        </w:rPr>
        <w:t>行</w:t>
      </w:r>
      <w:r>
        <w:rPr>
          <w:rFonts w:hint="eastAsia" w:ascii="方正楷体_GBK" w:hAnsi="方正楷体_GBK" w:eastAsia="方正楷体_GBK" w:cs="方正楷体_GBK"/>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lang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第一章</w:t>
      </w:r>
      <w:r>
        <w:rPr>
          <w:rFonts w:hint="eastAsia" w:ascii="黑体" w:hAnsi="黑体" w:eastAsia="黑体" w:cs="黑体"/>
          <w:b w:val="0"/>
          <w:bCs w:val="0"/>
          <w:sz w:val="32"/>
          <w:szCs w:val="32"/>
          <w:lang w:eastAsia="zh-CN"/>
        </w:rPr>
        <w:t>　</w:t>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rPr>
        <w:t>总</w:t>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rPr>
        <w:t>则</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第一条</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为</w:t>
      </w:r>
      <w:r>
        <w:rPr>
          <w:rFonts w:hint="eastAsia" w:ascii="仿宋" w:hAnsi="仿宋" w:eastAsia="仿宋" w:cs="仿宋"/>
          <w:sz w:val="32"/>
          <w:szCs w:val="32"/>
          <w:lang w:val="en-US" w:eastAsia="zh-CN"/>
        </w:rPr>
        <w:t>深化房屋建筑和市政基础设施工程招投标领域“放管服”改革，进一步优化营商环境，强化招标人主体责任落实，根据住建部《关于进一步加强房屋建筑和市政基础设施工程招标投标监管的指导意见》（建市规</w:t>
      </w:r>
      <w:r>
        <w:rPr>
          <w:rFonts w:hint="eastAsia" w:ascii="仿宋" w:hAnsi="仿宋" w:eastAsia="仿宋" w:cs="仿宋"/>
          <w:sz w:val="32"/>
          <w:szCs w:val="32"/>
        </w:rPr>
        <w:t>〔</w:t>
      </w:r>
      <w:r>
        <w:rPr>
          <w:rFonts w:hint="eastAsia" w:ascii="仿宋" w:hAnsi="仿宋" w:eastAsia="仿宋" w:cs="仿宋"/>
          <w:sz w:val="32"/>
          <w:szCs w:val="32"/>
          <w:lang w:val="en-US" w:eastAsia="zh-CN"/>
        </w:rPr>
        <w:t>2019</w:t>
      </w:r>
      <w:r>
        <w:rPr>
          <w:rFonts w:hint="eastAsia" w:ascii="宋体" w:hAnsi="宋体" w:eastAsia="宋体" w:cs="宋体"/>
          <w:sz w:val="32"/>
          <w:szCs w:val="32"/>
          <w:lang w:val="en-US" w:eastAsia="zh-CN"/>
        </w:rPr>
        <w:t>〕</w:t>
      </w:r>
      <w:r>
        <w:rPr>
          <w:rFonts w:hint="eastAsia" w:ascii="仿宋" w:hAnsi="仿宋" w:eastAsia="仿宋" w:cs="仿宋"/>
          <w:sz w:val="32"/>
          <w:szCs w:val="32"/>
          <w:lang w:val="en-US" w:eastAsia="zh-CN"/>
        </w:rPr>
        <w:t>11号）、省委省政府《关于以市场主体需求为导向打造一流营商环境若干意见》（鄂发</w:t>
      </w:r>
      <w:r>
        <w:rPr>
          <w:rFonts w:hint="eastAsia" w:ascii="宋体" w:hAnsi="宋体" w:eastAsia="宋体" w:cs="宋体"/>
          <w:sz w:val="32"/>
          <w:szCs w:val="32"/>
          <w:lang w:val="en-US" w:eastAsia="zh-CN"/>
        </w:rPr>
        <w:t>〔</w:t>
      </w:r>
      <w:r>
        <w:rPr>
          <w:rFonts w:hint="eastAsia" w:ascii="仿宋" w:hAnsi="仿宋" w:eastAsia="仿宋" w:cs="仿宋"/>
          <w:sz w:val="32"/>
          <w:szCs w:val="32"/>
          <w:lang w:val="en-US" w:eastAsia="zh-CN"/>
        </w:rPr>
        <w:t>2020</w:t>
      </w:r>
      <w:r>
        <w:rPr>
          <w:rFonts w:hint="eastAsia" w:ascii="宋体" w:hAnsi="宋体" w:eastAsia="宋体" w:cs="宋体"/>
          <w:sz w:val="32"/>
          <w:szCs w:val="32"/>
          <w:lang w:val="en-US" w:eastAsia="zh-CN"/>
        </w:rPr>
        <w:t>〕</w:t>
      </w:r>
      <w:r>
        <w:rPr>
          <w:rFonts w:hint="eastAsia" w:ascii="仿宋" w:hAnsi="仿宋" w:eastAsia="仿宋" w:cs="仿宋"/>
          <w:sz w:val="32"/>
          <w:szCs w:val="32"/>
          <w:lang w:val="en-US" w:eastAsia="zh-CN"/>
        </w:rPr>
        <w:t>23号）、《湖北省房屋建筑和市政基础设施工程招标投标“评定分离”改革试点工作指导意见》（鄂公管文</w:t>
      </w:r>
      <w:r>
        <w:rPr>
          <w:rFonts w:hint="eastAsia" w:ascii="宋体" w:hAnsi="宋体" w:eastAsia="宋体" w:cs="宋体"/>
          <w:sz w:val="32"/>
          <w:szCs w:val="32"/>
          <w:lang w:val="en-US" w:eastAsia="zh-CN"/>
        </w:rPr>
        <w:t>〔</w:t>
      </w:r>
      <w:r>
        <w:rPr>
          <w:rFonts w:hint="eastAsia" w:ascii="仿宋" w:hAnsi="仿宋" w:eastAsia="仿宋" w:cs="仿宋"/>
          <w:sz w:val="32"/>
          <w:szCs w:val="32"/>
          <w:lang w:val="en-US" w:eastAsia="zh-CN"/>
        </w:rPr>
        <w:t>2021</w:t>
      </w:r>
      <w:r>
        <w:rPr>
          <w:rFonts w:hint="eastAsia" w:ascii="宋体" w:hAnsi="宋体" w:eastAsia="宋体" w:cs="宋体"/>
          <w:sz w:val="32"/>
          <w:szCs w:val="32"/>
          <w:lang w:val="en-US" w:eastAsia="zh-CN"/>
        </w:rPr>
        <w:t>〕</w:t>
      </w:r>
      <w:r>
        <w:rPr>
          <w:rFonts w:hint="eastAsia" w:ascii="仿宋" w:hAnsi="仿宋" w:eastAsia="仿宋" w:cs="仿宋"/>
          <w:sz w:val="32"/>
          <w:szCs w:val="32"/>
          <w:lang w:val="en-US" w:eastAsia="zh-CN"/>
        </w:rPr>
        <w:t xml:space="preserve">20号）等有关规定，结合我县实际，制定本实施办法。 </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第二条</w:t>
      </w:r>
      <w:r>
        <w:rPr>
          <w:rFonts w:hint="eastAsia" w:ascii="仿宋" w:hAnsi="仿宋" w:eastAsia="仿宋" w:cs="仿宋"/>
          <w:sz w:val="32"/>
          <w:szCs w:val="32"/>
          <w:lang w:eastAsia="zh-CN"/>
        </w:rPr>
        <w:t>　</w:t>
      </w:r>
      <w:r>
        <w:rPr>
          <w:rFonts w:hint="eastAsia" w:ascii="仿宋" w:hAnsi="仿宋" w:eastAsia="仿宋" w:cs="仿宋"/>
          <w:sz w:val="32"/>
          <w:szCs w:val="32"/>
          <w:lang w:val="en-US" w:eastAsia="zh-CN"/>
        </w:rPr>
        <w:t>随县</w:t>
      </w:r>
      <w:r>
        <w:rPr>
          <w:rFonts w:hint="eastAsia" w:ascii="仿宋" w:hAnsi="仿宋" w:eastAsia="仿宋" w:cs="仿宋"/>
          <w:sz w:val="32"/>
          <w:szCs w:val="32"/>
        </w:rPr>
        <w:t>辖区范围内，工程复杂、技术难度高或单项合同估算价大于</w:t>
      </w:r>
      <w:r>
        <w:rPr>
          <w:rFonts w:hint="eastAsia" w:ascii="仿宋" w:hAnsi="仿宋" w:eastAsia="仿宋" w:cs="仿宋"/>
          <w:sz w:val="32"/>
          <w:szCs w:val="32"/>
          <w:lang w:val="en-US" w:eastAsia="zh-CN"/>
        </w:rPr>
        <w:t>1000</w:t>
      </w:r>
      <w:bookmarkStart w:id="0" w:name="_GoBack"/>
      <w:bookmarkEnd w:id="0"/>
      <w:r>
        <w:rPr>
          <w:rFonts w:hint="eastAsia" w:ascii="仿宋" w:hAnsi="仿宋" w:eastAsia="仿宋" w:cs="仿宋"/>
          <w:sz w:val="32"/>
          <w:szCs w:val="32"/>
        </w:rPr>
        <w:t>万元，且依法必须公开招标的房屋建筑和市政基础设施工程施工项目，招标人应按本办法实施“评定分离”。</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未达到前款规定的房屋建筑和市政基础设施工程施工项目，招标人可自愿选择“评定分离”方式。</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第三条</w:t>
      </w:r>
      <w:r>
        <w:rPr>
          <w:rFonts w:hint="eastAsia" w:ascii="仿宋" w:hAnsi="仿宋" w:eastAsia="仿宋" w:cs="仿宋"/>
          <w:sz w:val="32"/>
          <w:szCs w:val="32"/>
          <w:lang w:eastAsia="zh-CN"/>
        </w:rPr>
        <w:t>　</w:t>
      </w:r>
      <w:r>
        <w:rPr>
          <w:rFonts w:hint="eastAsia" w:ascii="仿宋" w:hAnsi="仿宋" w:eastAsia="仿宋" w:cs="仿宋"/>
          <w:sz w:val="32"/>
          <w:szCs w:val="32"/>
        </w:rPr>
        <w:t>本办法所指“评定分离”是指工程招标投标活动中的“评标”和“定标”阶段进行分离，评标阶段由评标委员会完成，定标阶段由招标人自行组建的定标委员会完成。</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黑体" w:hAnsi="黑体" w:eastAsia="黑体" w:cs="黑体"/>
          <w:sz w:val="32"/>
          <w:szCs w:val="32"/>
        </w:rPr>
      </w:pPr>
      <w:r>
        <w:rPr>
          <w:rFonts w:hint="eastAsia" w:ascii="黑体" w:hAnsi="黑体" w:eastAsia="黑体" w:cs="黑体"/>
          <w:sz w:val="32"/>
          <w:szCs w:val="32"/>
        </w:rPr>
        <w:t>第二章</w:t>
      </w:r>
      <w:r>
        <w:rPr>
          <w:rFonts w:hint="eastAsia" w:ascii="黑体" w:hAnsi="黑体" w:eastAsia="黑体" w:cs="黑体"/>
          <w:sz w:val="32"/>
          <w:szCs w:val="32"/>
          <w:lang w:eastAsia="zh-CN"/>
        </w:rPr>
        <w:t>　</w:t>
      </w:r>
      <w:r>
        <w:rPr>
          <w:rFonts w:hint="eastAsia" w:ascii="黑体" w:hAnsi="黑体" w:eastAsia="黑体" w:cs="黑体"/>
          <w:sz w:val="32"/>
          <w:szCs w:val="32"/>
        </w:rPr>
        <w:t>招标人内控机制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第四条</w:t>
      </w:r>
      <w:r>
        <w:rPr>
          <w:rFonts w:hint="eastAsia" w:ascii="仿宋" w:hAnsi="仿宋" w:eastAsia="仿宋" w:cs="仿宋"/>
          <w:sz w:val="32"/>
          <w:szCs w:val="32"/>
          <w:lang w:eastAsia="zh-CN"/>
        </w:rPr>
        <w:t>　</w:t>
      </w:r>
      <w:r>
        <w:rPr>
          <w:rFonts w:hint="eastAsia" w:ascii="仿宋" w:hAnsi="仿宋" w:eastAsia="仿宋" w:cs="仿宋"/>
          <w:sz w:val="32"/>
          <w:szCs w:val="32"/>
        </w:rPr>
        <w:t>凡开展</w:t>
      </w:r>
      <w:r>
        <w:rPr>
          <w:rFonts w:hint="eastAsia" w:ascii="仿宋" w:hAnsi="仿宋" w:eastAsia="仿宋" w:cs="仿宋"/>
          <w:sz w:val="32"/>
          <w:szCs w:val="32"/>
          <w:lang w:eastAsia="zh-CN"/>
        </w:rPr>
        <w:t>“</w:t>
      </w:r>
      <w:r>
        <w:rPr>
          <w:rFonts w:hint="eastAsia" w:ascii="仿宋" w:hAnsi="仿宋" w:eastAsia="仿宋" w:cs="仿宋"/>
          <w:sz w:val="32"/>
          <w:szCs w:val="32"/>
        </w:rPr>
        <w:t>评定分离</w:t>
      </w:r>
      <w:r>
        <w:rPr>
          <w:rFonts w:hint="eastAsia" w:ascii="仿宋" w:hAnsi="仿宋" w:eastAsia="仿宋" w:cs="仿宋"/>
          <w:sz w:val="32"/>
          <w:szCs w:val="32"/>
          <w:lang w:eastAsia="zh-CN"/>
        </w:rPr>
        <w:t>”</w:t>
      </w:r>
      <w:r>
        <w:rPr>
          <w:rFonts w:hint="eastAsia" w:ascii="仿宋" w:hAnsi="仿宋" w:eastAsia="仿宋" w:cs="仿宋"/>
          <w:sz w:val="32"/>
          <w:szCs w:val="32"/>
        </w:rPr>
        <w:t>的项目，招标人应当建立健全内部控制程序和决策约束机制。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建立招标决策约束制度。招标人应建立健全内部控制程序和决策约束机制，将资格预审文件、招标文件、评标办法、定标办法、定标委员会的组建、招标效果评估等纳入“三重一大”决策机制和廉洁评估范围，提高重大决策的透明度和决策质量。</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二)组建定标监督小组。招标人应组建不少于3人的定标监督小组，其职责是对定标委员会的组建、定标过程及招标人在定标前的清标环节和对中标候选人的考察等进行全程监督。发现异常情况及时提醒，但不得就定标涉及的实质内容发表意见或者参与定标讨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三)加强履约检查。招标人应在项目实施过程中加强履约检查，对中标人的履约情况跟踪核查，重点核查招标文件中项目管理机构主要人员的相关投标承诺、工期、质量安全管理、变更及造价控制情况、协调配合与服务等。项目完工后15</w:t>
      </w:r>
      <w:r>
        <w:rPr>
          <w:rFonts w:hint="eastAsia" w:ascii="仿宋" w:hAnsi="仿宋" w:eastAsia="仿宋" w:cs="仿宋"/>
          <w:sz w:val="32"/>
          <w:szCs w:val="32"/>
          <w:lang w:eastAsia="zh-CN"/>
        </w:rPr>
        <w:t>日</w:t>
      </w:r>
      <w:r>
        <w:rPr>
          <w:rFonts w:hint="eastAsia" w:ascii="仿宋" w:hAnsi="仿宋" w:eastAsia="仿宋" w:cs="仿宋"/>
          <w:sz w:val="32"/>
          <w:szCs w:val="32"/>
        </w:rPr>
        <w:t>内形成评估报告，评估招标、定标及履约效果,优化后续定标方案。</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(四）建立标后评估机制。对招投标活动是否公开公平公正、定标结果是否符合定标规则和招标人价值取向进行一标一核查和评估。</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黑体" w:hAnsi="黑体" w:eastAsia="黑体" w:cs="黑体"/>
          <w:sz w:val="32"/>
          <w:szCs w:val="32"/>
        </w:rPr>
      </w:pPr>
      <w:r>
        <w:rPr>
          <w:rFonts w:hint="eastAsia" w:ascii="黑体" w:hAnsi="黑体" w:eastAsia="黑体" w:cs="黑体"/>
          <w:sz w:val="32"/>
          <w:szCs w:val="32"/>
        </w:rPr>
        <w:t>第三章</w:t>
      </w:r>
      <w:r>
        <w:rPr>
          <w:rFonts w:hint="eastAsia" w:ascii="黑体" w:hAnsi="黑体" w:eastAsia="黑体" w:cs="黑体"/>
          <w:sz w:val="32"/>
          <w:szCs w:val="32"/>
          <w:lang w:eastAsia="zh-CN"/>
        </w:rPr>
        <w:t>　</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评</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标</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第五条</w:t>
      </w:r>
      <w:r>
        <w:rPr>
          <w:rFonts w:hint="eastAsia" w:ascii="仿宋" w:hAnsi="仿宋" w:eastAsia="仿宋" w:cs="仿宋"/>
          <w:sz w:val="32"/>
          <w:szCs w:val="32"/>
          <w:lang w:eastAsia="zh-CN"/>
        </w:rPr>
        <w:t>　</w:t>
      </w:r>
      <w:r>
        <w:rPr>
          <w:rFonts w:hint="eastAsia" w:ascii="仿宋" w:hAnsi="仿宋" w:eastAsia="仿宋" w:cs="仿宋"/>
          <w:sz w:val="32"/>
          <w:szCs w:val="32"/>
        </w:rPr>
        <w:t>“评定分离”项目，评标阶段按照我</w:t>
      </w:r>
      <w:r>
        <w:rPr>
          <w:rFonts w:hint="eastAsia" w:ascii="仿宋" w:hAnsi="仿宋" w:eastAsia="仿宋" w:cs="仿宋"/>
          <w:sz w:val="32"/>
          <w:szCs w:val="32"/>
          <w:lang w:eastAsia="zh-CN"/>
        </w:rPr>
        <w:t>县</w:t>
      </w:r>
      <w:r>
        <w:rPr>
          <w:rFonts w:hint="eastAsia" w:ascii="仿宋" w:hAnsi="仿宋" w:eastAsia="仿宋" w:cs="仿宋"/>
          <w:sz w:val="32"/>
          <w:szCs w:val="32"/>
        </w:rPr>
        <w:t>现行评标规则实施。</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第六条</w:t>
      </w:r>
      <w:r>
        <w:rPr>
          <w:rFonts w:hint="eastAsia" w:ascii="仿宋" w:hAnsi="仿宋" w:eastAsia="仿宋" w:cs="仿宋"/>
          <w:sz w:val="32"/>
          <w:szCs w:val="32"/>
          <w:lang w:eastAsia="zh-CN"/>
        </w:rPr>
        <w:t>　</w:t>
      </w:r>
      <w:r>
        <w:rPr>
          <w:rFonts w:hint="eastAsia" w:ascii="仿宋" w:hAnsi="仿宋" w:eastAsia="仿宋" w:cs="仿宋"/>
          <w:sz w:val="32"/>
          <w:szCs w:val="32"/>
        </w:rPr>
        <w:t>评标完成后，评标委员会应向招标人提交书面评标报告，向招标人推荐不超过5家不标明顺序的中标候选人。投标人的数量少于或等于10家时，评标委员会推荐的中标候选人数量不得超过3家。若符合招标文件的中标候选人少于招标文件规定的数量时,但达到3家及以上时，评标委员会按实际数量推荐;若符合招标文件的中标候选人少于3家时，由评标委员会作出是否具备竞争性判定，如具备竞争性，可继续推荐中标候选人。否则，招标人应重新招标。</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第七条</w:t>
      </w:r>
      <w:r>
        <w:rPr>
          <w:rFonts w:hint="eastAsia" w:ascii="仿宋" w:hAnsi="仿宋" w:eastAsia="仿宋" w:cs="仿宋"/>
          <w:sz w:val="32"/>
          <w:szCs w:val="32"/>
          <w:lang w:eastAsia="zh-CN"/>
        </w:rPr>
        <w:t>　</w:t>
      </w:r>
      <w:r>
        <w:rPr>
          <w:rFonts w:hint="eastAsia" w:ascii="仿宋" w:hAnsi="仿宋" w:eastAsia="仿宋" w:cs="仿宋"/>
          <w:sz w:val="32"/>
          <w:szCs w:val="32"/>
        </w:rPr>
        <w:t>招标人应当自收到评标报告之日起3日内公示中标候选人，公示期不得少于3</w:t>
      </w:r>
      <w:r>
        <w:rPr>
          <w:rFonts w:hint="eastAsia" w:ascii="仿宋" w:hAnsi="仿宋" w:eastAsia="仿宋" w:cs="仿宋"/>
          <w:sz w:val="32"/>
          <w:szCs w:val="32"/>
          <w:lang w:eastAsia="zh-CN"/>
        </w:rPr>
        <w:t>日</w:t>
      </w:r>
      <w:r>
        <w:rPr>
          <w:rFonts w:hint="eastAsia" w:ascii="仿宋" w:hAnsi="仿宋" w:eastAsia="仿宋" w:cs="仿宋"/>
          <w:sz w:val="32"/>
          <w:szCs w:val="32"/>
        </w:rPr>
        <w:t>。</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在中标候选人公示期间，中标候选人放弃或被查实违法违规行为、取消中标候选人资格的，导致剩</w:t>
      </w:r>
      <w:r>
        <w:rPr>
          <w:rFonts w:hint="eastAsia" w:ascii="仿宋" w:hAnsi="仿宋" w:eastAsia="仿宋" w:cs="仿宋"/>
          <w:sz w:val="32"/>
          <w:szCs w:val="32"/>
          <w:lang w:eastAsia="zh-CN"/>
        </w:rPr>
        <w:t>余</w:t>
      </w:r>
      <w:r>
        <w:rPr>
          <w:rFonts w:hint="eastAsia" w:ascii="仿宋" w:hAnsi="仿宋" w:eastAsia="仿宋" w:cs="仿宋"/>
          <w:sz w:val="32"/>
          <w:szCs w:val="32"/>
        </w:rPr>
        <w:t>中标候选人少于3家时,由招标人自行选择继续开展定标活动或重新招标。</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黑体" w:hAnsi="黑体" w:eastAsia="黑体" w:cs="黑体"/>
          <w:sz w:val="32"/>
          <w:szCs w:val="32"/>
        </w:rPr>
      </w:pPr>
      <w:r>
        <w:rPr>
          <w:rFonts w:hint="eastAsia" w:ascii="黑体" w:hAnsi="黑体" w:eastAsia="黑体" w:cs="黑体"/>
          <w:sz w:val="32"/>
          <w:szCs w:val="32"/>
        </w:rPr>
        <w:t>第四章</w:t>
      </w:r>
      <w:r>
        <w:rPr>
          <w:rFonts w:hint="eastAsia" w:ascii="黑体" w:hAnsi="黑体" w:eastAsia="黑体" w:cs="黑体"/>
          <w:sz w:val="32"/>
          <w:szCs w:val="32"/>
          <w:lang w:eastAsia="zh-CN"/>
        </w:rPr>
        <w:t>　</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定</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标</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第八条</w:t>
      </w:r>
      <w:r>
        <w:rPr>
          <w:rFonts w:hint="eastAsia" w:ascii="仿宋" w:hAnsi="仿宋" w:eastAsia="仿宋" w:cs="仿宋"/>
          <w:sz w:val="32"/>
          <w:szCs w:val="32"/>
          <w:lang w:eastAsia="zh-CN"/>
        </w:rPr>
        <w:t>　</w:t>
      </w:r>
      <w:r>
        <w:rPr>
          <w:rFonts w:hint="eastAsia" w:ascii="仿宋" w:hAnsi="仿宋" w:eastAsia="仿宋" w:cs="仿宋"/>
          <w:sz w:val="32"/>
          <w:szCs w:val="32"/>
        </w:rPr>
        <w:t>招标人应在招标文件中明确定标方法和规则。</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第九条</w:t>
      </w:r>
      <w:r>
        <w:rPr>
          <w:rFonts w:hint="eastAsia" w:ascii="仿宋" w:hAnsi="仿宋" w:eastAsia="仿宋" w:cs="仿宋"/>
          <w:sz w:val="32"/>
          <w:szCs w:val="32"/>
          <w:lang w:eastAsia="zh-CN"/>
        </w:rPr>
        <w:t>　</w:t>
      </w:r>
      <w:r>
        <w:rPr>
          <w:rFonts w:hint="eastAsia" w:ascii="仿宋" w:hAnsi="仿宋" w:eastAsia="仿宋" w:cs="仿宋"/>
          <w:sz w:val="32"/>
          <w:szCs w:val="32"/>
        </w:rPr>
        <w:t>定标委员会实行招标人负责制，由招标人的法定代表人或者主要负责人负责组建和管理，其职责是根据评标委员会的评标报告</w:t>
      </w:r>
      <w:r>
        <w:rPr>
          <w:rFonts w:hint="eastAsia" w:ascii="仿宋" w:hAnsi="仿宋" w:eastAsia="仿宋" w:cs="仿宋"/>
          <w:sz w:val="32"/>
          <w:szCs w:val="32"/>
          <w:lang w:eastAsia="zh-CN"/>
        </w:rPr>
        <w:t>，</w:t>
      </w:r>
      <w:r>
        <w:rPr>
          <w:rFonts w:hint="eastAsia" w:ascii="仿宋" w:hAnsi="仿宋" w:eastAsia="仿宋" w:cs="仿宋"/>
          <w:sz w:val="32"/>
          <w:szCs w:val="32"/>
        </w:rPr>
        <w:t>综合考虑报价、技术、信用、招标人的清标和前期考察结果等因素，按照招标文件规定的定标规则，从评标委员会推荐的候选人中择优确定中标人。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第十条</w:t>
      </w:r>
      <w:r>
        <w:rPr>
          <w:rFonts w:hint="eastAsia" w:ascii="仿宋" w:hAnsi="仿宋" w:eastAsia="仿宋" w:cs="仿宋"/>
          <w:sz w:val="32"/>
          <w:szCs w:val="32"/>
          <w:lang w:eastAsia="zh-CN"/>
        </w:rPr>
        <w:t>　</w:t>
      </w:r>
      <w:r>
        <w:rPr>
          <w:rFonts w:hint="eastAsia" w:ascii="仿宋" w:hAnsi="仿宋" w:eastAsia="仿宋" w:cs="仿宋"/>
          <w:sz w:val="32"/>
          <w:szCs w:val="32"/>
        </w:rPr>
        <w:t>定标委员会的组成方式和人员由招标人自行确定，成员数量为5人及以上单数。定标委员会应当推荐定标组长，招标人(不含代理机构）的法定代表人或者主要负责人参加定标委员会的，由其直接担任定标委员会组长，定标委员会名单在中标结果公告前应当保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第十一条</w:t>
      </w:r>
      <w:r>
        <w:rPr>
          <w:rFonts w:hint="eastAsia" w:ascii="仿宋" w:hAnsi="仿宋" w:eastAsia="仿宋" w:cs="仿宋"/>
          <w:sz w:val="32"/>
          <w:szCs w:val="32"/>
          <w:lang w:eastAsia="zh-CN"/>
        </w:rPr>
        <w:t>　</w:t>
      </w:r>
      <w:r>
        <w:rPr>
          <w:rFonts w:hint="eastAsia" w:ascii="仿宋" w:hAnsi="仿宋" w:eastAsia="仿宋" w:cs="仿宋"/>
          <w:sz w:val="32"/>
          <w:szCs w:val="32"/>
        </w:rPr>
        <w:t>定标委员会应从评标委员会推荐的中标候选人中确定1名中标人，并向招标人提交定标报告。定标委员会成员应客观、公正地履行定标职责，对所提出的定标意见承担相应责任。定标委员会成员与中标候选人有利害关系的，应当回避。</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rPr>
        <w:t>第十二条</w:t>
      </w:r>
      <w:r>
        <w:rPr>
          <w:rFonts w:hint="eastAsia" w:ascii="仿宋" w:hAnsi="仿宋" w:eastAsia="仿宋" w:cs="仿宋"/>
          <w:sz w:val="32"/>
          <w:szCs w:val="32"/>
          <w:lang w:eastAsia="zh-CN"/>
        </w:rPr>
        <w:t>　</w:t>
      </w:r>
      <w:r>
        <w:rPr>
          <w:rFonts w:hint="eastAsia" w:ascii="仿宋" w:hAnsi="仿宋" w:eastAsia="仿宋" w:cs="仿宋"/>
          <w:sz w:val="32"/>
          <w:szCs w:val="32"/>
        </w:rPr>
        <w:t>定标委员会结合项目实际和评标委员会的评审意见，根据投标报价、企业实力、企业信誉</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履约情况</w:t>
      </w:r>
      <w:r>
        <w:rPr>
          <w:rFonts w:hint="eastAsia" w:ascii="仿宋" w:hAnsi="仿宋" w:eastAsia="仿宋" w:cs="仿宋"/>
          <w:sz w:val="32"/>
          <w:szCs w:val="32"/>
        </w:rPr>
        <w:t>等要素，釆用择优方式比选定标。</w:t>
      </w:r>
      <w:r>
        <w:rPr>
          <w:rFonts w:hint="eastAsia" w:ascii="仿宋" w:hAnsi="仿宋" w:eastAsia="仿宋" w:cs="仿宋"/>
          <w:sz w:val="32"/>
          <w:szCs w:val="32"/>
          <w:lang w:val="en-US" w:eastAsia="zh-CN"/>
        </w:rPr>
        <w:t>择优时，可考虑以下因素：</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(一）价格要素。按照招标文件规定的报价竞争方法。</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二）实力要素。企业综合（资质等级、售后服务、科技创新等）、业绩奖项（项目业绩、工程质量安全奖、安全文明工地等）、财务状况（企业营业额、资产负债率、流动资金、纳税、项目资金保障等）、项目机构负责人履历、项目机构成员配置、质量安全管理措施等。</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(三）信用要素。表彰表扬（县级以上政府、相关行业主管部门、行业协会颁发的各类通报)</w:t>
      </w:r>
      <w:r>
        <w:rPr>
          <w:rFonts w:hint="eastAsia" w:ascii="仿宋" w:hAnsi="仿宋" w:eastAsia="仿宋" w:cs="仿宋"/>
          <w:sz w:val="32"/>
          <w:szCs w:val="32"/>
          <w:lang w:val="en-US" w:eastAsia="zh-CN"/>
        </w:rPr>
        <w:t>等。</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（四）</w:t>
      </w:r>
      <w:r>
        <w:rPr>
          <w:rFonts w:hint="eastAsia" w:ascii="仿宋" w:hAnsi="仿宋" w:eastAsia="仿宋" w:cs="仿宋"/>
          <w:sz w:val="32"/>
          <w:szCs w:val="32"/>
        </w:rPr>
        <w:t>履约情况</w:t>
      </w:r>
      <w:r>
        <w:rPr>
          <w:rFonts w:hint="eastAsia" w:ascii="仿宋" w:hAnsi="仿宋" w:eastAsia="仿宋" w:cs="仿宋"/>
          <w:sz w:val="32"/>
          <w:szCs w:val="32"/>
          <w:lang w:eastAsia="zh-CN"/>
        </w:rPr>
        <w:t>。</w:t>
      </w:r>
      <w:r>
        <w:rPr>
          <w:rFonts w:hint="eastAsia" w:ascii="仿宋" w:hAnsi="仿宋" w:eastAsia="仿宋" w:cs="仿宋"/>
          <w:sz w:val="32"/>
          <w:szCs w:val="32"/>
        </w:rPr>
        <w:t>过往履约记录、建设单位履约评价</w:t>
      </w:r>
      <w:r>
        <w:rPr>
          <w:rFonts w:hint="eastAsia" w:ascii="仿宋" w:hAnsi="仿宋" w:eastAsia="仿宋" w:cs="仿宋"/>
          <w:sz w:val="32"/>
          <w:szCs w:val="32"/>
          <w:lang w:val="en-US" w:eastAsia="zh-CN"/>
        </w:rPr>
        <w:t>等。对拟派团队的</w:t>
      </w:r>
      <w:r>
        <w:rPr>
          <w:rFonts w:hint="eastAsia" w:ascii="仿宋" w:hAnsi="仿宋" w:eastAsia="仿宋" w:cs="仿宋"/>
          <w:sz w:val="32"/>
          <w:szCs w:val="32"/>
        </w:rPr>
        <w:t>履约</w:t>
      </w:r>
      <w:r>
        <w:rPr>
          <w:rFonts w:hint="eastAsia" w:ascii="仿宋" w:hAnsi="仿宋" w:eastAsia="仿宋" w:cs="仿宋"/>
          <w:sz w:val="32"/>
          <w:szCs w:val="32"/>
          <w:lang w:val="en-US" w:eastAsia="zh-CN"/>
        </w:rPr>
        <w:t>能力与水平，可考察项目负责人主持的类似工程业绩，也可现场答辩</w:t>
      </w:r>
      <w:r>
        <w:rPr>
          <w:rFonts w:hint="eastAsia" w:ascii="仿宋" w:hAnsi="仿宋" w:eastAsia="仿宋" w:cs="仿宋"/>
          <w:sz w:val="32"/>
          <w:szCs w:val="32"/>
        </w:rPr>
        <w:t>。</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五</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招标人认定的其他优良行为。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第十三条</w:t>
      </w:r>
      <w:r>
        <w:rPr>
          <w:rFonts w:hint="eastAsia" w:ascii="仿宋" w:hAnsi="仿宋" w:eastAsia="仿宋" w:cs="仿宋"/>
          <w:sz w:val="32"/>
          <w:szCs w:val="32"/>
          <w:lang w:eastAsia="zh-CN"/>
        </w:rPr>
        <w:t>　</w:t>
      </w:r>
      <w:r>
        <w:rPr>
          <w:rFonts w:hint="eastAsia" w:ascii="仿宋" w:hAnsi="仿宋" w:eastAsia="仿宋" w:cs="仿宋"/>
          <w:sz w:val="32"/>
          <w:szCs w:val="32"/>
        </w:rPr>
        <w:t>定标委员会也可以根据中标候选人1一3年内是否发生或存在质量安全事故、不良行为记录或违法违规行为等要素，釆用比劣方式比选定标。</w:t>
      </w:r>
      <w:r>
        <w:rPr>
          <w:rFonts w:hint="eastAsia" w:ascii="仿宋" w:hAnsi="仿宋" w:eastAsia="仿宋" w:cs="仿宋"/>
          <w:sz w:val="32"/>
          <w:szCs w:val="32"/>
          <w:lang w:val="en-US" w:eastAsia="zh-CN"/>
        </w:rPr>
        <w:t>比劣时，可参考以下因素：</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（一）有无围标串标，以行贿等不正当手段谋取中标的行为。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（二）有无挂靠，以他人名义投标，出借资质供他人投标的行为。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（三）投标人或其法定代表人、企业负责人、项目负责人等有无不良记录。</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（四）投标人有无严重违约或重大工程质量、安全问题。</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（五）信用中国、信用湖北等信用评价体系或有资质的第三方信用服务机构出具的《企业信用报告》中有无不良记录。</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（六）招标人认定的其他不良行为。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第十四条</w:t>
      </w:r>
      <w:r>
        <w:rPr>
          <w:rFonts w:hint="eastAsia" w:ascii="仿宋" w:hAnsi="仿宋" w:eastAsia="仿宋" w:cs="仿宋"/>
          <w:sz w:val="32"/>
          <w:szCs w:val="32"/>
          <w:lang w:eastAsia="zh-CN"/>
        </w:rPr>
        <w:t>　</w:t>
      </w:r>
      <w:r>
        <w:rPr>
          <w:rFonts w:hint="eastAsia" w:ascii="仿宋" w:hAnsi="仿宋" w:eastAsia="仿宋" w:cs="仿宋"/>
          <w:sz w:val="32"/>
          <w:szCs w:val="32"/>
        </w:rPr>
        <w:t>定标委员会可以采用下列方法确定中标人：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(一)价格竞争定标法。按照招标文件规定的价格竞争方法确定中标人。可以采用最低投标价法、次低价法、平均值法等确定中标人，具体方法由招标人在招标文件中明确。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(二)票决定标法。包括：票决数量法和票决计分法。</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1.票决数量法。定标委员会成员对中标候选人进行记名投票,得票最高的即为中标人；当最高得票相同时，对得票最高的中标候选人再次进行记名投票，直至选出中标人。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票决计分法。定标委员会成员对中标候选人进行投票记分排名，如中标候选人数量为N，则取中标候选人最高得分为N分，其次为N-1分、最低分为1分，汇总定标委员会各成员记名投票打分情况，总得分最高的即为中标人。当最高得分相同时，对得分最高的中标候选人再次进行记名投票打分，直至选出中标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三)集体议事法。由招标人法定代表人或者主要负责人担任定标委员会组长，组建定标委员会根据集体议事规则进行集体决策。定标委员会成员各自发表意见并作书面记录确认，最终由定标委员会组长确定中标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(四)其他方法。招标人可以将上述定标方法组合使用，也可以结合项目特点和自身实际，本着公平公正的原则，制定其他定标方法，并在招标文件中明确。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第十五条</w:t>
      </w:r>
      <w:r>
        <w:rPr>
          <w:rFonts w:hint="eastAsia" w:ascii="仿宋" w:hAnsi="仿宋" w:eastAsia="仿宋" w:cs="仿宋"/>
          <w:sz w:val="32"/>
          <w:szCs w:val="32"/>
          <w:lang w:eastAsia="zh-CN"/>
        </w:rPr>
        <w:t>　</w:t>
      </w:r>
      <w:r>
        <w:rPr>
          <w:rFonts w:hint="eastAsia" w:ascii="仿宋" w:hAnsi="仿宋" w:eastAsia="仿宋" w:cs="仿宋"/>
          <w:sz w:val="32"/>
          <w:szCs w:val="32"/>
        </w:rPr>
        <w:t>招标人定标前需要开展清标与考察的，应当在招标文件中明确清标与考察的内容和方法，并出具清标和考察的书面报告提交定标委员会作为定标参考依据。招标人的清标和考察报告应当实事求是，客观公正，不得有明示或暗示的倾向性意见。招标人组织考察的，应对所有中标候选人进行考察，在考察时不得与中标候选人就投标价格、投标方案等实质性内容进行谈判。</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第十六条</w:t>
      </w:r>
      <w:r>
        <w:rPr>
          <w:rFonts w:hint="eastAsia" w:ascii="仿宋" w:hAnsi="仿宋" w:eastAsia="仿宋" w:cs="仿宋"/>
          <w:sz w:val="32"/>
          <w:szCs w:val="32"/>
          <w:lang w:eastAsia="zh-CN"/>
        </w:rPr>
        <w:t>　</w:t>
      </w:r>
      <w:r>
        <w:rPr>
          <w:rFonts w:hint="eastAsia" w:ascii="仿宋" w:hAnsi="仿宋" w:eastAsia="仿宋" w:cs="仿宋"/>
          <w:sz w:val="32"/>
          <w:szCs w:val="32"/>
        </w:rPr>
        <w:t>定标会应在评标结束后的5个工作日内召开。若招标人需要对中标候选人或拟派项目负责人进行考察或广泛征求意见而需延期进行的，应在评标结束后的10个工作曰内召开。定标委员会应当按照招标文件规定的定标方法，在评标委员会推荐的中标候选人中择优确定中标人。定标委员会可以要求中标候选人拟派的项目负责人或技术负责人在定标会议现场进行答辩，但相关要求应在招标文件中载明。</w:t>
      </w:r>
      <w:r>
        <w:rPr>
          <w:rFonts w:hint="eastAsia" w:ascii="仿宋" w:hAnsi="仿宋" w:eastAsia="仿宋" w:cs="仿宋"/>
          <w:sz w:val="32"/>
          <w:szCs w:val="32"/>
          <w:lang w:eastAsia="zh-CN"/>
        </w:rPr>
        <w:t>招标人应对定标活动全程录音录像，录音录像应当清晰可辨，并按照档案管理办法，及时存档保管备查。同时，招标人还须自确定中标人之日起十五日内，将定标活动全过程资料复制件交给公共资源交易中心存档，并对资料的完整性和真实性负责。</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第十七条</w:t>
      </w:r>
      <w:r>
        <w:rPr>
          <w:rFonts w:hint="eastAsia" w:ascii="仿宋" w:hAnsi="仿宋" w:eastAsia="仿宋" w:cs="仿宋"/>
          <w:sz w:val="32"/>
          <w:szCs w:val="32"/>
          <w:lang w:eastAsia="zh-CN"/>
        </w:rPr>
        <w:t>　</w:t>
      </w:r>
      <w:r>
        <w:rPr>
          <w:rFonts w:hint="eastAsia" w:ascii="仿宋" w:hAnsi="仿宋" w:eastAsia="仿宋" w:cs="仿宋"/>
          <w:sz w:val="32"/>
          <w:szCs w:val="32"/>
        </w:rPr>
        <w:t>招标人应当在确定中标人后3</w:t>
      </w:r>
      <w:r>
        <w:rPr>
          <w:rFonts w:hint="eastAsia" w:ascii="仿宋" w:hAnsi="仿宋" w:eastAsia="仿宋" w:cs="仿宋"/>
          <w:sz w:val="32"/>
          <w:szCs w:val="32"/>
          <w:lang w:eastAsia="zh-CN"/>
        </w:rPr>
        <w:t>日</w:t>
      </w:r>
      <w:r>
        <w:rPr>
          <w:rFonts w:hint="eastAsia" w:ascii="仿宋" w:hAnsi="仿宋" w:eastAsia="仿宋" w:cs="仿宋"/>
          <w:sz w:val="32"/>
          <w:szCs w:val="32"/>
        </w:rPr>
        <w:t>内公告定标结果。</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第十八条</w:t>
      </w:r>
      <w:r>
        <w:rPr>
          <w:rFonts w:hint="eastAsia" w:ascii="仿宋" w:hAnsi="仿宋" w:eastAsia="仿宋" w:cs="仿宋"/>
          <w:sz w:val="32"/>
          <w:szCs w:val="32"/>
          <w:lang w:eastAsia="zh-CN"/>
        </w:rPr>
        <w:t>　</w:t>
      </w:r>
      <w:r>
        <w:rPr>
          <w:rFonts w:hint="eastAsia" w:ascii="仿宋" w:hAnsi="仿宋" w:eastAsia="仿宋" w:cs="仿宋"/>
          <w:sz w:val="32"/>
          <w:szCs w:val="32"/>
        </w:rPr>
        <w:t>中标人不得无故放弃中标。中标人放弃中标、因不可抗力不能履行合同、不按照招标文件要求提交履约保证金或因异议、投诉查实被取消中标资格的，招标人可以在剩</w:t>
      </w:r>
      <w:r>
        <w:rPr>
          <w:rFonts w:hint="eastAsia" w:ascii="仿宋" w:hAnsi="仿宋" w:eastAsia="仿宋" w:cs="仿宋"/>
          <w:sz w:val="32"/>
          <w:szCs w:val="32"/>
          <w:lang w:eastAsia="zh-CN"/>
        </w:rPr>
        <w:t>余</w:t>
      </w:r>
      <w:r>
        <w:rPr>
          <w:rFonts w:hint="eastAsia" w:ascii="仿宋" w:hAnsi="仿宋" w:eastAsia="仿宋" w:cs="仿宋"/>
          <w:sz w:val="32"/>
          <w:szCs w:val="32"/>
        </w:rPr>
        <w:t>中标候选人中，按照原定标程序和方法，组织原定标委员会重新定标，也可以重新招标。</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黑体" w:hAnsi="黑体" w:eastAsia="黑体" w:cs="黑体"/>
          <w:sz w:val="32"/>
          <w:szCs w:val="32"/>
          <w:lang w:eastAsia="zh-CN"/>
        </w:rPr>
      </w:pPr>
      <w:r>
        <w:rPr>
          <w:rFonts w:hint="eastAsia" w:ascii="黑体" w:hAnsi="黑体" w:eastAsia="黑体" w:cs="黑体"/>
          <w:sz w:val="32"/>
          <w:szCs w:val="32"/>
        </w:rPr>
        <w:t>第五章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监督与管理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第十九条</w:t>
      </w:r>
      <w:r>
        <w:rPr>
          <w:rFonts w:hint="eastAsia" w:ascii="仿宋" w:hAnsi="仿宋" w:eastAsia="仿宋" w:cs="仿宋"/>
          <w:sz w:val="32"/>
          <w:szCs w:val="32"/>
          <w:lang w:eastAsia="zh-CN"/>
        </w:rPr>
        <w:t>　</w:t>
      </w:r>
      <w:r>
        <w:rPr>
          <w:rFonts w:hint="eastAsia" w:ascii="仿宋" w:hAnsi="仿宋" w:eastAsia="仿宋" w:cs="仿宋"/>
          <w:sz w:val="32"/>
          <w:szCs w:val="32"/>
        </w:rPr>
        <w:t>招标人应全面履行项目建设的管理职责，对整个招标、定标过程和结果承担主体责任。加强对招标公告、资格预审文件、招标文件、评标、定标等招标投标事项的审查管理，加强对派出的评标、定标代表的管理，加强对委托的代理机构的管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u w:val="none"/>
          <w:lang w:val="en-US" w:eastAsia="zh-CN"/>
        </w:rPr>
      </w:pPr>
      <w:r>
        <w:rPr>
          <w:rFonts w:hint="eastAsia" w:ascii="仿宋" w:hAnsi="仿宋" w:eastAsia="仿宋" w:cs="仿宋"/>
          <w:sz w:val="32"/>
          <w:szCs w:val="32"/>
          <w:u w:val="none"/>
        </w:rPr>
        <w:t>第二十条</w:t>
      </w:r>
      <w:r>
        <w:rPr>
          <w:rFonts w:hint="eastAsia" w:ascii="仿宋" w:hAnsi="仿宋" w:eastAsia="仿宋" w:cs="仿宋"/>
          <w:sz w:val="32"/>
          <w:szCs w:val="32"/>
          <w:u w:val="none"/>
          <w:lang w:eastAsia="zh-CN"/>
        </w:rPr>
        <w:t>　</w:t>
      </w:r>
      <w:r>
        <w:rPr>
          <w:rFonts w:hint="eastAsia" w:ascii="仿宋" w:hAnsi="仿宋" w:eastAsia="仿宋" w:cs="仿宋"/>
          <w:sz w:val="32"/>
          <w:szCs w:val="32"/>
          <w:u w:val="none"/>
        </w:rPr>
        <w:t>公共资源交易</w:t>
      </w:r>
      <w:r>
        <w:rPr>
          <w:rFonts w:hint="eastAsia" w:ascii="仿宋" w:hAnsi="仿宋" w:eastAsia="仿宋" w:cs="仿宋"/>
          <w:sz w:val="32"/>
          <w:szCs w:val="32"/>
          <w:u w:val="none"/>
          <w:lang w:val="en-US" w:eastAsia="zh-CN"/>
        </w:rPr>
        <w:t xml:space="preserve">综合监督管理机构依法对工程施工项目的“评定分离”实施综合监管。建设行政主管部门依法对工程施工项目的“评定分离”实施行业监管。 </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u w:val="none"/>
          <w:lang w:val="en-US" w:eastAsia="zh-CN"/>
        </w:rPr>
        <w:t xml:space="preserve"> </w:t>
      </w:r>
      <w:r>
        <w:rPr>
          <w:rFonts w:hint="eastAsia" w:ascii="仿宋" w:hAnsi="仿宋" w:eastAsia="仿宋" w:cs="仿宋"/>
          <w:sz w:val="32"/>
          <w:szCs w:val="32"/>
        </w:rPr>
        <w:t>第二十</w:t>
      </w:r>
      <w:r>
        <w:rPr>
          <w:rFonts w:hint="eastAsia" w:ascii="仿宋" w:hAnsi="仿宋" w:eastAsia="仿宋" w:cs="仿宋"/>
          <w:sz w:val="32"/>
          <w:szCs w:val="32"/>
          <w:lang w:val="en-US" w:eastAsia="zh-CN"/>
        </w:rPr>
        <w:t>一</w:t>
      </w:r>
      <w:r>
        <w:rPr>
          <w:rFonts w:hint="eastAsia" w:ascii="仿宋" w:hAnsi="仿宋" w:eastAsia="仿宋" w:cs="仿宋"/>
          <w:sz w:val="32"/>
          <w:szCs w:val="32"/>
        </w:rPr>
        <w:t>条</w:t>
      </w:r>
      <w:r>
        <w:rPr>
          <w:rFonts w:hint="eastAsia" w:ascii="仿宋" w:hAnsi="仿宋" w:eastAsia="仿宋" w:cs="仿宋"/>
          <w:sz w:val="32"/>
          <w:szCs w:val="32"/>
          <w:lang w:eastAsia="zh-CN"/>
        </w:rPr>
        <w:t>　</w:t>
      </w:r>
      <w:r>
        <w:rPr>
          <w:rFonts w:hint="eastAsia" w:ascii="仿宋" w:hAnsi="仿宋" w:eastAsia="仿宋" w:cs="仿宋"/>
          <w:sz w:val="32"/>
          <w:szCs w:val="32"/>
        </w:rPr>
        <w:t>招标人、投标人、招标代理机构、评标委员会、定标委员会应当严格遵守工程招标投标的相关法律、法规和规定,认真履行职责。“评定分离”实施中，存在违法违纪的，按照有关规定移送纪检监察机关或者相关部门予以处理；涉嫌犯罪的，依法移送司法机关追究刑事责任。</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第二十</w:t>
      </w:r>
      <w:r>
        <w:rPr>
          <w:rFonts w:hint="eastAsia" w:ascii="仿宋" w:hAnsi="仿宋" w:eastAsia="仿宋" w:cs="仿宋"/>
          <w:sz w:val="32"/>
          <w:szCs w:val="32"/>
          <w:lang w:val="en-US" w:eastAsia="zh-CN"/>
        </w:rPr>
        <w:t>二</w:t>
      </w:r>
      <w:r>
        <w:rPr>
          <w:rFonts w:hint="eastAsia" w:ascii="仿宋" w:hAnsi="仿宋" w:eastAsia="仿宋" w:cs="仿宋"/>
          <w:sz w:val="32"/>
          <w:szCs w:val="32"/>
        </w:rPr>
        <w:t>条</w:t>
      </w:r>
      <w:r>
        <w:rPr>
          <w:rFonts w:hint="eastAsia" w:ascii="仿宋" w:hAnsi="仿宋" w:eastAsia="仿宋" w:cs="仿宋"/>
          <w:sz w:val="32"/>
          <w:szCs w:val="32"/>
          <w:lang w:eastAsia="zh-CN"/>
        </w:rPr>
        <w:t>　</w:t>
      </w:r>
      <w:r>
        <w:rPr>
          <w:rFonts w:hint="eastAsia" w:ascii="仿宋" w:hAnsi="仿宋" w:eastAsia="仿宋" w:cs="仿宋"/>
          <w:sz w:val="32"/>
          <w:szCs w:val="32"/>
        </w:rPr>
        <w:t>项目的异议及投诉处理，严格按照《湖北省公共资源招标投标投诉处理办法》（鄂公管委发〔2021〕7号）的规定执行。</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黑体" w:hAnsi="黑体" w:eastAsia="黑体" w:cs="黑体"/>
          <w:sz w:val="32"/>
          <w:szCs w:val="32"/>
        </w:rPr>
      </w:pPr>
      <w:r>
        <w:rPr>
          <w:rFonts w:hint="eastAsia" w:ascii="黑体" w:hAnsi="黑体" w:eastAsia="黑体" w:cs="黑体"/>
          <w:sz w:val="32"/>
          <w:szCs w:val="32"/>
        </w:rPr>
        <w:t>第六章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lang w:eastAsia="zh-CN"/>
        </w:rPr>
        <w:t>　</w:t>
      </w:r>
      <w:r>
        <w:rPr>
          <w:rFonts w:hint="eastAsia" w:ascii="黑体" w:hAnsi="黑体" w:eastAsia="黑体" w:cs="黑体"/>
          <w:sz w:val="32"/>
          <w:szCs w:val="32"/>
        </w:rPr>
        <w:t>附</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则</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第二十</w:t>
      </w:r>
      <w:r>
        <w:rPr>
          <w:rFonts w:hint="eastAsia" w:ascii="仿宋" w:hAnsi="仿宋" w:eastAsia="仿宋" w:cs="仿宋"/>
          <w:sz w:val="32"/>
          <w:szCs w:val="32"/>
          <w:lang w:val="en-US" w:eastAsia="zh-CN"/>
        </w:rPr>
        <w:t>三</w:t>
      </w:r>
      <w:r>
        <w:rPr>
          <w:rFonts w:hint="eastAsia" w:ascii="仿宋" w:hAnsi="仿宋" w:eastAsia="仿宋" w:cs="仿宋"/>
          <w:sz w:val="32"/>
          <w:szCs w:val="32"/>
        </w:rPr>
        <w:t>条</w:t>
      </w:r>
      <w:r>
        <w:rPr>
          <w:rFonts w:hint="eastAsia" w:ascii="仿宋" w:hAnsi="仿宋" w:eastAsia="仿宋" w:cs="仿宋"/>
          <w:sz w:val="32"/>
          <w:szCs w:val="32"/>
          <w:lang w:eastAsia="zh-CN"/>
        </w:rPr>
        <w:t>　</w:t>
      </w:r>
      <w:r>
        <w:rPr>
          <w:rFonts w:hint="eastAsia" w:ascii="仿宋" w:hAnsi="仿宋" w:eastAsia="仿宋" w:cs="仿宋"/>
          <w:sz w:val="32"/>
          <w:szCs w:val="32"/>
        </w:rPr>
        <w:t>本办法由</w:t>
      </w:r>
      <w:r>
        <w:rPr>
          <w:rFonts w:hint="eastAsia" w:ascii="仿宋" w:hAnsi="仿宋" w:eastAsia="仿宋" w:cs="仿宋"/>
          <w:sz w:val="32"/>
          <w:szCs w:val="32"/>
          <w:lang w:val="en-US" w:eastAsia="zh-CN"/>
        </w:rPr>
        <w:t>随县</w:t>
      </w:r>
      <w:r>
        <w:rPr>
          <w:rFonts w:hint="eastAsia" w:ascii="仿宋" w:hAnsi="仿宋" w:eastAsia="仿宋" w:cs="仿宋"/>
          <w:sz w:val="32"/>
          <w:szCs w:val="32"/>
        </w:rPr>
        <w:t>公共资源交易</w:t>
      </w:r>
      <w:r>
        <w:rPr>
          <w:rFonts w:hint="eastAsia" w:ascii="仿宋" w:hAnsi="仿宋" w:eastAsia="仿宋" w:cs="仿宋"/>
          <w:sz w:val="32"/>
          <w:szCs w:val="32"/>
          <w:lang w:val="en-US" w:eastAsia="zh-CN"/>
        </w:rPr>
        <w:t>管理委员会及其办公室</w:t>
      </w:r>
      <w:r>
        <w:rPr>
          <w:rFonts w:hint="eastAsia" w:ascii="仿宋" w:hAnsi="仿宋" w:eastAsia="仿宋" w:cs="仿宋"/>
          <w:sz w:val="32"/>
          <w:szCs w:val="32"/>
        </w:rPr>
        <w:t>负责解释，并根据上级政策调整和实际工作需要适时修订。</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第二十</w:t>
      </w:r>
      <w:r>
        <w:rPr>
          <w:rFonts w:hint="eastAsia" w:ascii="仿宋" w:hAnsi="仿宋" w:eastAsia="仿宋" w:cs="仿宋"/>
          <w:sz w:val="32"/>
          <w:szCs w:val="32"/>
          <w:lang w:val="en-US" w:eastAsia="zh-CN"/>
        </w:rPr>
        <w:t>四</w:t>
      </w:r>
      <w:r>
        <w:rPr>
          <w:rFonts w:hint="eastAsia" w:ascii="仿宋" w:hAnsi="仿宋" w:eastAsia="仿宋" w:cs="仿宋"/>
          <w:sz w:val="32"/>
          <w:szCs w:val="32"/>
        </w:rPr>
        <w:t>条</w:t>
      </w:r>
      <w:r>
        <w:rPr>
          <w:rFonts w:hint="eastAsia" w:ascii="仿宋" w:hAnsi="仿宋" w:eastAsia="仿宋" w:cs="仿宋"/>
          <w:sz w:val="32"/>
          <w:szCs w:val="32"/>
          <w:lang w:eastAsia="zh-CN"/>
        </w:rPr>
        <w:t>　</w:t>
      </w:r>
      <w:r>
        <w:rPr>
          <w:rFonts w:hint="eastAsia" w:ascii="仿宋" w:hAnsi="仿宋" w:eastAsia="仿宋" w:cs="仿宋"/>
          <w:sz w:val="32"/>
          <w:szCs w:val="32"/>
        </w:rPr>
        <w:t>本办法自</w:t>
      </w:r>
      <w:r>
        <w:rPr>
          <w:rFonts w:hint="eastAsia" w:ascii="仿宋" w:hAnsi="仿宋" w:eastAsia="仿宋" w:cs="仿宋"/>
          <w:sz w:val="32"/>
          <w:szCs w:val="32"/>
          <w:lang w:val="en-US" w:eastAsia="zh-CN"/>
        </w:rPr>
        <w:t>印发之日</w:t>
      </w:r>
      <w:r>
        <w:rPr>
          <w:rFonts w:hint="eastAsia" w:ascii="仿宋" w:hAnsi="仿宋" w:eastAsia="仿宋" w:cs="仿宋"/>
          <w:sz w:val="32"/>
          <w:szCs w:val="32"/>
        </w:rPr>
        <w:t>起施行，有效期一年。</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附件：1.“评定分离”实施步骤及流程指引</w:t>
      </w:r>
    </w:p>
    <w:p>
      <w:pPr>
        <w:keepNext w:val="0"/>
        <w:keepLines w:val="0"/>
        <w:pageBreakBefore w:val="0"/>
        <w:widowControl w:val="0"/>
        <w:numPr>
          <w:ilvl w:val="0"/>
          <w:numId w:val="1"/>
        </w:numPr>
        <w:kinsoku/>
        <w:wordWrap/>
        <w:overflowPunct/>
        <w:topLinePunct w:val="0"/>
        <w:autoSpaceDE/>
        <w:autoSpaceDN/>
        <w:bidi w:val="0"/>
        <w:adjustRightInd/>
        <w:snapToGrid/>
        <w:spacing w:line="580" w:lineRule="exact"/>
        <w:ind w:left="160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招标文件应当载明的内容（示例）</w:t>
      </w:r>
    </w:p>
    <w:p>
      <w:pPr>
        <w:keepNext w:val="0"/>
        <w:keepLines w:val="0"/>
        <w:pageBreakBefore w:val="0"/>
        <w:widowControl w:val="0"/>
        <w:numPr>
          <w:ilvl w:val="0"/>
          <w:numId w:val="1"/>
        </w:numPr>
        <w:kinsoku/>
        <w:wordWrap/>
        <w:overflowPunct/>
        <w:topLinePunct w:val="0"/>
        <w:autoSpaceDE/>
        <w:autoSpaceDN/>
        <w:bidi w:val="0"/>
        <w:adjustRightInd/>
        <w:snapToGrid/>
        <w:spacing w:line="580" w:lineRule="exact"/>
        <w:ind w:left="1600" w:leftChars="0" w:firstLine="0" w:firstLineChars="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湖北省工程建设项目招标定标报告</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 w:hAnsi="仿宋" w:eastAsia="仿宋" w:cs="仿宋"/>
          <w:sz w:val="32"/>
          <w:szCs w:val="32"/>
        </w:rPr>
      </w:pPr>
      <w:r>
        <w:rPr>
          <w:sz w:val="32"/>
        </w:rPr>
        <mc:AlternateContent>
          <mc:Choice Requires="wps">
            <w:drawing>
              <wp:anchor distT="0" distB="0" distL="114300" distR="114300" simplePos="0" relativeHeight="251662336" behindDoc="0" locked="0" layoutInCell="1" allowOverlap="1">
                <wp:simplePos x="0" y="0"/>
                <wp:positionH relativeFrom="column">
                  <wp:posOffset>-73660</wp:posOffset>
                </wp:positionH>
                <wp:positionV relativeFrom="paragraph">
                  <wp:posOffset>3175</wp:posOffset>
                </wp:positionV>
                <wp:extent cx="5715000"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5715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5.8pt;margin-top:0.25pt;height:0pt;width:450pt;z-index:251662336;mso-width-relative:page;mso-height-relative:page;" filled="f" stroked="t" coordsize="21600,21600" o:gfxdata="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EptNabSAAAABQEAAA8AAAAA&#10;AAAAAQAgAAAAIgAAAGRycy9kb3ducmV2LnhtbFBLAQIUABQAAAAIAIdO4kA2N9144QEAALEDAAAO&#10;AAAAAAAAAAEAIAAAACEBAABkcnMvZTJvRG9jLnhtbFBLBQYAAAAABgAGAFkBAAB0BQAAAAA=&#10;">
                <v:fill on="f" focussize="0,0"/>
                <v:stroke weight="0.5pt" color="#000000 [3213]" miterlimit="8" joinstyle="miter"/>
                <v:imagedata o:title=""/>
                <o:lock v:ext="edit" aspectratio="f"/>
              </v:line>
            </w:pict>
          </mc:Fallback>
        </mc:AlternateContent>
      </w:r>
      <w:r>
        <w:rPr>
          <w:sz w:val="32"/>
        </w:rPr>
        <mc:AlternateContent>
          <mc:Choice Requires="wps">
            <w:drawing>
              <wp:anchor distT="0" distB="0" distL="114300" distR="114300" simplePos="0" relativeHeight="251661312" behindDoc="0" locked="0" layoutInCell="1" allowOverlap="1">
                <wp:simplePos x="0" y="0"/>
                <wp:positionH relativeFrom="column">
                  <wp:posOffset>-73660</wp:posOffset>
                </wp:positionH>
                <wp:positionV relativeFrom="paragraph">
                  <wp:posOffset>436880</wp:posOffset>
                </wp:positionV>
                <wp:extent cx="5715000" cy="0"/>
                <wp:effectExtent l="0" t="0" r="0" b="0"/>
                <wp:wrapNone/>
                <wp:docPr id="1" name="直接连接符 1"/>
                <wp:cNvGraphicFramePr/>
                <a:graphic xmlns:a="http://schemas.openxmlformats.org/drawingml/2006/main">
                  <a:graphicData uri="http://schemas.microsoft.com/office/word/2010/wordprocessingShape">
                    <wps:wsp>
                      <wps:cNvCnPr/>
                      <wps:spPr>
                        <a:xfrm>
                          <a:off x="916940" y="9459595"/>
                          <a:ext cx="5715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5.8pt;margin-top:34.4pt;height:0pt;width:450pt;z-index:251661312;mso-width-relative:page;mso-height-relative:page;" filled="f" stroked="t" coordsize="21600,21600" o:gfxdata="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i5222tUAAAAJAQAADwAAAAAAAAABACAAAAAiAAAAZHJzL2Rvd25yZXYueG1sUEsBAhQAFAAAAAgA&#10;h07iQO2g/VDvAQAAvAMAAA4AAAAAAAAAAQAgAAAAJAEAAGRycy9lMm9Eb2MueG1sUEsFBgAAAAAG&#10;AAYAWQEAAIUFAAAAAA==&#10;">
                <v:fill on="f" focussize="0,0"/>
                <v:stroke weight="0.5pt" color="#000000 [3213]" miterlimit="8" joinstyle="miter"/>
                <v:imagedata o:title=""/>
                <o:lock v:ext="edit" aspectratio="f"/>
              </v:line>
            </w:pict>
          </mc:Fallback>
        </mc:AlternateContent>
      </w:r>
      <w:r>
        <w:rPr>
          <w:rFonts w:hint="eastAsia" w:ascii="仿宋" w:hAnsi="仿宋" w:eastAsia="仿宋" w:cs="仿宋"/>
          <w:sz w:val="32"/>
          <w:szCs w:val="32"/>
          <w:lang w:val="en-US" w:eastAsia="zh-CN"/>
        </w:rPr>
        <w:t xml:space="preserve">随县公共资源交易监督管理局办公室  </w:t>
      </w:r>
      <w:r>
        <w:rPr>
          <w:rFonts w:hint="eastAsia" w:ascii="仿宋" w:hAnsi="仿宋" w:eastAsia="仿宋" w:cs="仿宋"/>
          <w:sz w:val="32"/>
          <w:szCs w:val="32"/>
        </w:rPr>
        <w:t>2022年</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月</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日印发</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仿宋" w:hAnsi="仿宋" w:eastAsia="仿宋" w:cs="仿宋"/>
          <w:sz w:val="32"/>
          <w:szCs w:val="32"/>
        </w:rPr>
      </w:pPr>
    </w:p>
    <w:sectPr>
      <w:footerReference r:id="rId3" w:type="default"/>
      <w:pgSz w:w="11906" w:h="16838"/>
      <w:pgMar w:top="1984" w:right="1587" w:bottom="1814" w:left="1587" w:header="851" w:footer="1559"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default" w:ascii="Times New Roman" w:hAnsi="Times New Roman" w:cs="Times New Roman"/>
                              <w:sz w:val="26"/>
                              <w:szCs w:val="26"/>
                            </w:rPr>
                          </w:pPr>
                          <w:r>
                            <w:rPr>
                              <w:rFonts w:hint="eastAsia" w:asciiTheme="majorEastAsia" w:hAnsiTheme="majorEastAsia" w:eastAsiaTheme="majorEastAsia" w:cstheme="majorEastAsia"/>
                              <w:sz w:val="26"/>
                              <w:szCs w:val="26"/>
                            </w:rPr>
                            <w:t xml:space="preserve">— </w:t>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  \* MERGEFORMAT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w:t>
                          </w:r>
                          <w:r>
                            <w:rPr>
                              <w:rFonts w:hint="default" w:ascii="Times New Roman" w:hAnsi="Times New Roman" w:cs="Times New Roman"/>
                              <w:sz w:val="26"/>
                              <w:szCs w:val="26"/>
                            </w:rPr>
                            <w:fldChar w:fldCharType="end"/>
                          </w:r>
                          <w:r>
                            <w:rPr>
                              <w:rFonts w:hint="default" w:asciiTheme="majorEastAsia" w:hAnsiTheme="majorEastAsia" w:eastAsiaTheme="majorEastAsia" w:cstheme="majorEastAsia"/>
                              <w:sz w:val="26"/>
                              <w:szCs w:val="26"/>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
                      <w:rPr>
                        <w:rFonts w:hint="default" w:ascii="Times New Roman" w:hAnsi="Times New Roman" w:cs="Times New Roman"/>
                        <w:sz w:val="26"/>
                        <w:szCs w:val="26"/>
                      </w:rPr>
                    </w:pPr>
                    <w:r>
                      <w:rPr>
                        <w:rFonts w:hint="eastAsia" w:asciiTheme="majorEastAsia" w:hAnsiTheme="majorEastAsia" w:eastAsiaTheme="majorEastAsia" w:cstheme="majorEastAsia"/>
                        <w:sz w:val="26"/>
                        <w:szCs w:val="26"/>
                      </w:rPr>
                      <w:t xml:space="preserve">— </w:t>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  \* MERGEFORMAT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w:t>
                    </w:r>
                    <w:r>
                      <w:rPr>
                        <w:rFonts w:hint="default" w:ascii="Times New Roman" w:hAnsi="Times New Roman" w:cs="Times New Roman"/>
                        <w:sz w:val="26"/>
                        <w:szCs w:val="26"/>
                      </w:rPr>
                      <w:fldChar w:fldCharType="end"/>
                    </w:r>
                    <w:r>
                      <w:rPr>
                        <w:rFonts w:hint="default" w:asciiTheme="majorEastAsia" w:hAnsiTheme="majorEastAsia" w:eastAsiaTheme="majorEastAsia" w:cstheme="majorEastAsia"/>
                        <w:sz w:val="26"/>
                        <w:szCs w:val="26"/>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13E6AB"/>
    <w:multiLevelType w:val="singleLevel"/>
    <w:tmpl w:val="4F13E6AB"/>
    <w:lvl w:ilvl="0" w:tentative="0">
      <w:start w:val="2"/>
      <w:numFmt w:val="decimal"/>
      <w:lvlText w:val="%1."/>
      <w:lvlJc w:val="left"/>
      <w:pPr>
        <w:tabs>
          <w:tab w:val="left" w:pos="312"/>
        </w:tabs>
        <w:ind w:left="1600" w:leftChars="0" w:firstLine="0" w:firstLineChars="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4NzdlZTRiOThjOTJiNjZlY2Y0Y2FjMTI1NTM0MTAifQ=="/>
  </w:docVars>
  <w:rsids>
    <w:rsidRoot w:val="00000000"/>
    <w:rsid w:val="00A501AB"/>
    <w:rsid w:val="038A267E"/>
    <w:rsid w:val="04F574FF"/>
    <w:rsid w:val="09AE3A49"/>
    <w:rsid w:val="0D802482"/>
    <w:rsid w:val="10CC7168"/>
    <w:rsid w:val="1238205F"/>
    <w:rsid w:val="150F2E35"/>
    <w:rsid w:val="26523FCC"/>
    <w:rsid w:val="3249470C"/>
    <w:rsid w:val="37785DC5"/>
    <w:rsid w:val="3AD2430B"/>
    <w:rsid w:val="3B915693"/>
    <w:rsid w:val="3C6C6EDC"/>
    <w:rsid w:val="3D1B6DFC"/>
    <w:rsid w:val="3DE80FEA"/>
    <w:rsid w:val="43734D5C"/>
    <w:rsid w:val="44376449"/>
    <w:rsid w:val="4F326612"/>
    <w:rsid w:val="4FC86D44"/>
    <w:rsid w:val="52106C9E"/>
    <w:rsid w:val="5FA810E2"/>
    <w:rsid w:val="716E3204"/>
    <w:rsid w:val="79AD01BA"/>
    <w:rsid w:val="7C5E08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4161</Words>
  <Characters>4202</Characters>
  <Lines>0</Lines>
  <Paragraphs>0</Paragraphs>
  <TotalTime>0</TotalTime>
  <ScaleCrop>false</ScaleCrop>
  <LinksUpToDate>false</LinksUpToDate>
  <CharactersWithSpaces>4305</CharactersWithSpaces>
  <Application>WPS Office_11.1.0.12349_F1E327BC-269C-435d-A152-05C5408002CA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2022-07-04T01:28:00Z</dcterms:created>
  <dc:creator>Administrator</dc:creator>
  <cp:lastModifiedBy>ok小哥</cp:lastModifiedBy>
  <dcterms:modified xsi:type="dcterms:W3CDTF">2022-08-22T04:37:05Z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2052-11.1.0.12349</vt:lpwstr>
  </property>
  <property fmtid="{D5CDD505-2E9C-101B-9397-08002B2CF9AE}" pid="3" name="ICV">
    <vt:lpwstr>639CE9246D5D4B42BC2C8A4254DE44C1</vt:lpwstr>
  </property>
</Properties>
</file>