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ind w:left="908"/>
        <w:spacing w:before="189" w:line="219" w:lineRule="auto"/>
        <w:rPr>
          <w:rFonts w:ascii="SimSun" w:hAnsi="SimSun" w:eastAsia="SimSun" w:cs="SimSun"/>
          <w:sz w:val="96"/>
          <w:szCs w:val="96"/>
        </w:rPr>
      </w:pPr>
      <w:r>
        <w:rPr>
          <w:rFonts w:ascii="SimSun" w:hAnsi="SimSun" w:eastAsia="SimSun" w:cs="SimSun"/>
          <w:sz w:val="96"/>
          <w:szCs w:val="96"/>
          <w:b/>
          <w:bCs/>
          <w:color w:val="F20000"/>
          <w:spacing w:val="-73"/>
          <w:w w:val="71"/>
        </w:rPr>
        <w:t>黄冈市黄州区人民政府办公室</w:t>
      </w:r>
    </w:p>
    <w:p>
      <w:pPr>
        <w:spacing w:before="151" w:line="60" w:lineRule="exact"/>
        <w:textAlignment w:val="center"/>
        <w:rPr/>
      </w:pPr>
      <w:r>
        <w:drawing>
          <wp:inline distT="0" distB="0" distL="0" distR="0">
            <wp:extent cx="6076912" cy="38062"/>
            <wp:effectExtent l="0" t="0" r="0" b="0"/>
            <wp:docPr id="1" name="IM 1"/>
            <wp:cNvGraphicFramePr/>
            <a:graphic>
              <a:graphicData uri="http://schemas.openxmlformats.org/drawingml/2006/picture">
                <pic:pic>
                  <pic:nvPicPr>
                    <pic:cNvPr id="1" name="IM 1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076912" cy="38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5459"/>
        <w:spacing w:before="161" w:line="222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12"/>
        </w:rPr>
        <w:t>黄州政办函〔2021〕75号</w:t>
      </w:r>
    </w:p>
    <w:p>
      <w:pPr>
        <w:spacing w:line="300" w:lineRule="auto"/>
        <w:rPr>
          <w:rFonts w:ascii="Arial"/>
          <w:sz w:val="21"/>
        </w:rPr>
      </w:pPr>
      <w:r/>
    </w:p>
    <w:p>
      <w:pPr>
        <w:spacing w:line="301" w:lineRule="auto"/>
        <w:rPr>
          <w:rFonts w:ascii="Arial"/>
          <w:sz w:val="21"/>
        </w:rPr>
      </w:pPr>
      <w:r/>
    </w:p>
    <w:p>
      <w:pPr>
        <w:spacing w:line="301" w:lineRule="auto"/>
        <w:rPr>
          <w:rFonts w:ascii="Arial"/>
          <w:sz w:val="21"/>
        </w:rPr>
      </w:pPr>
      <w:r/>
    </w:p>
    <w:p>
      <w:pPr>
        <w:ind w:left="3015"/>
        <w:spacing w:before="143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28"/>
        </w:rPr>
        <w:t>区人民政府办公室</w:t>
      </w:r>
    </w:p>
    <w:p>
      <w:pPr>
        <w:ind w:left="535"/>
        <w:spacing w:before="8" w:line="219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49"/>
        </w:rPr>
        <w:t>关于印发黄州区打击围标串标、转包和违法分包</w:t>
      </w:r>
    </w:p>
    <w:p>
      <w:pPr>
        <w:ind w:left="2485"/>
        <w:spacing w:before="12" w:line="220" w:lineRule="auto"/>
        <w:rPr>
          <w:rFonts w:ascii="SimSun" w:hAnsi="SimSun" w:eastAsia="SimSun" w:cs="SimSun"/>
          <w:sz w:val="44"/>
          <w:szCs w:val="44"/>
        </w:rPr>
      </w:pPr>
      <w:r>
        <w:rPr>
          <w:rFonts w:ascii="SimSun" w:hAnsi="SimSun" w:eastAsia="SimSun" w:cs="SimSun"/>
          <w:sz w:val="44"/>
          <w:szCs w:val="44"/>
          <w:b/>
          <w:bCs/>
          <w:spacing w:val="-41"/>
        </w:rPr>
        <w:t>专项行动实施方案的通知</w:t>
      </w:r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9" w:lineRule="auto"/>
        <w:rPr>
          <w:rFonts w:ascii="Arial"/>
          <w:sz w:val="21"/>
        </w:rPr>
      </w:pPr>
      <w:r/>
    </w:p>
    <w:p>
      <w:pPr>
        <w:ind w:left="390"/>
        <w:spacing w:before="107" w:line="554" w:lineRule="exact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24"/>
          <w:position w:val="16"/>
        </w:rPr>
        <w:t>各乡、镇人民政府，各街道办事处，火车站经济开发区、黄州工</w:t>
      </w:r>
    </w:p>
    <w:p>
      <w:pPr>
        <w:ind w:left="390"/>
        <w:spacing w:before="1" w:line="221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26"/>
        </w:rPr>
        <w:t>业园管委会，区政府各部门：</w:t>
      </w:r>
    </w:p>
    <w:p>
      <w:pPr>
        <w:ind w:left="995"/>
        <w:spacing w:before="139" w:line="219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-14"/>
        </w:rPr>
        <w:t>《黄州区打击围标串标、转包和违法分包专项行动实施方</w:t>
      </w:r>
    </w:p>
    <w:p>
      <w:pPr>
        <w:ind w:left="390"/>
        <w:spacing w:before="161" w:line="220" w:lineRule="auto"/>
        <w:rPr>
          <w:rFonts w:ascii="FangSong" w:hAnsi="FangSong" w:eastAsia="FangSong" w:cs="FangSong"/>
          <w:sz w:val="33"/>
          <w:szCs w:val="33"/>
        </w:rPr>
      </w:pPr>
      <w: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3689346</wp:posOffset>
            </wp:positionH>
            <wp:positionV relativeFrom="paragraph">
              <wp:posOffset>66697</wp:posOffset>
            </wp:positionV>
            <wp:extent cx="1562089" cy="1562123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62089" cy="15621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FangSong" w:hAnsi="FangSong" w:eastAsia="FangSong" w:cs="FangSong"/>
          <w:sz w:val="33"/>
          <w:szCs w:val="33"/>
          <w:spacing w:val="-21"/>
        </w:rPr>
        <w:t>案》已经区人民政府研究同意，现印发给你们，请遵照执行。</w:t>
      </w:r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spacing w:line="279" w:lineRule="auto"/>
        <w:rPr>
          <w:rFonts w:ascii="Arial"/>
          <w:sz w:val="21"/>
        </w:rPr>
      </w:pPr>
      <w:r/>
    </w:p>
    <w:p>
      <w:pPr>
        <w:ind w:left="5650"/>
        <w:spacing w:before="109" w:line="222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23"/>
        </w:rPr>
        <w:t>2021年11月26日</w:t>
      </w:r>
    </w:p>
    <w:p>
      <w:pPr>
        <w:sectPr>
          <w:footerReference w:type="default" r:id="rId1"/>
          <w:pgSz w:w="11790" w:h="16650"/>
          <w:pgMar w:top="1310" w:right="1010" w:bottom="990" w:left="1000" w:header="0" w:footer="930" w:gutter="0"/>
        </w:sectPr>
        <w:rPr/>
      </w:pPr>
    </w:p>
    <w:p>
      <w:pPr>
        <w:ind w:left="3581" w:right="273" w:hanging="3270"/>
        <w:spacing w:before="78" w:line="236" w:lineRule="auto"/>
        <w:rPr>
          <w:rFonts w:ascii="SimSun" w:hAnsi="SimSun" w:eastAsia="SimSun" w:cs="SimSun"/>
          <w:sz w:val="39"/>
          <w:szCs w:val="39"/>
        </w:rPr>
      </w:pPr>
      <w:r>
        <w:rPr>
          <w:rFonts w:ascii="SimSun" w:hAnsi="SimSun" w:eastAsia="SimSun" w:cs="SimSun"/>
          <w:sz w:val="39"/>
          <w:szCs w:val="39"/>
          <w:b/>
          <w:bCs/>
          <w:spacing w:val="-7"/>
        </w:rPr>
        <w:t>黄州区打击围标串标、转包和违法分包专项行动</w:t>
      </w:r>
      <w:r>
        <w:rPr>
          <w:rFonts w:ascii="SimSun" w:hAnsi="SimSun" w:eastAsia="SimSun" w:cs="SimSun"/>
          <w:sz w:val="39"/>
          <w:szCs w:val="39"/>
          <w:spacing w:val="6"/>
        </w:rPr>
        <w:t xml:space="preserve"> </w:t>
      </w:r>
      <w:r>
        <w:rPr>
          <w:rFonts w:ascii="SimSun" w:hAnsi="SimSun" w:eastAsia="SimSun" w:cs="SimSun"/>
          <w:sz w:val="39"/>
          <w:szCs w:val="39"/>
          <w:b/>
          <w:bCs/>
          <w:spacing w:val="-5"/>
        </w:rPr>
        <w:t>实施方案</w:t>
      </w:r>
    </w:p>
    <w:p>
      <w:pPr>
        <w:spacing w:line="308" w:lineRule="auto"/>
        <w:rPr>
          <w:rFonts w:ascii="Arial"/>
          <w:sz w:val="21"/>
        </w:rPr>
      </w:pPr>
      <w:r/>
    </w:p>
    <w:p>
      <w:pPr>
        <w:spacing w:line="309" w:lineRule="auto"/>
        <w:rPr>
          <w:rFonts w:ascii="Arial"/>
          <w:sz w:val="21"/>
        </w:rPr>
      </w:pPr>
      <w:r/>
    </w:p>
    <w:p>
      <w:pPr>
        <w:ind w:left="46" w:right="84" w:firstLine="610"/>
        <w:spacing w:before="100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根据《中华人民共和国招标投标法》《中华人民共和国招标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投标法实施条例》《湖北省公共资源招标投标</w:t>
      </w:r>
      <w:r>
        <w:rPr>
          <w:rFonts w:ascii="FangSong" w:hAnsi="FangSong" w:eastAsia="FangSong" w:cs="FangSong"/>
          <w:sz w:val="31"/>
          <w:szCs w:val="31"/>
          <w:spacing w:val="-5"/>
        </w:rPr>
        <w:t>监督管理条例》法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律法规，为进一步规范我区工程招投标市场秩</w:t>
      </w:r>
      <w:r>
        <w:rPr>
          <w:rFonts w:ascii="FangSong" w:hAnsi="FangSong" w:eastAsia="FangSong" w:cs="FangSong"/>
          <w:sz w:val="31"/>
          <w:szCs w:val="31"/>
          <w:spacing w:val="-5"/>
        </w:rPr>
        <w:t>序，落实《黄冈市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2"/>
        </w:rPr>
        <w:t>打击围标串标、转包和违法分包专项行动实施方案》(黄州政办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函〔2021〕31</w:t>
      </w:r>
      <w:r>
        <w:rPr>
          <w:rFonts w:ascii="FangSong" w:hAnsi="FangSong" w:eastAsia="FangSong" w:cs="FangSong"/>
          <w:sz w:val="31"/>
          <w:szCs w:val="31"/>
          <w:spacing w:val="2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号)等文件规定，决定在全区范围内开展打击围</w:t>
      </w:r>
    </w:p>
    <w:p>
      <w:pPr>
        <w:ind w:left="46"/>
        <w:spacing w:before="1" w:line="218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"/>
        </w:rPr>
        <w:t>标串标、转包和违法分包专项行动，具体方案如下：</w:t>
      </w:r>
    </w:p>
    <w:p>
      <w:pPr>
        <w:ind w:left="660"/>
        <w:spacing w:before="184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"/>
        </w:rPr>
        <w:t>一、工作目标</w:t>
      </w:r>
    </w:p>
    <w:p>
      <w:pPr>
        <w:ind w:left="46" w:firstLine="610"/>
        <w:spacing w:before="205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坚持问题导向，通过全面自查、专项检查等方式整治全区政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府投资项目中围标串标、转包和违法分包等违法违规行为</w:t>
      </w:r>
      <w:r>
        <w:rPr>
          <w:rFonts w:ascii="FangSong" w:hAnsi="FangSong" w:eastAsia="FangSong" w:cs="FangSong"/>
          <w:sz w:val="31"/>
          <w:szCs w:val="31"/>
          <w:spacing w:val="-5"/>
        </w:rPr>
        <w:t>，增强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1"/>
        </w:rPr>
        <w:t>参建各方主体的法律意识、责任意识、诚信意识；坚持依法行政，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切实加强发改、住建、交通、水利、农业农村等有关行政监督部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门与公共资源交易综合监管机构的协作配合，构建齐抓共管长效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机制；强化业务指导和督办，及时协调解决推进中遇到的困难和</w:t>
      </w:r>
    </w:p>
    <w:p>
      <w:pPr>
        <w:ind w:left="46"/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"/>
        </w:rPr>
        <w:t>问题，整体协同推进，促进全区工程招投标市场</w:t>
      </w:r>
      <w:r>
        <w:rPr>
          <w:rFonts w:ascii="FangSong" w:hAnsi="FangSong" w:eastAsia="FangSong" w:cs="FangSong"/>
          <w:sz w:val="31"/>
          <w:szCs w:val="31"/>
          <w:spacing w:val="-3"/>
        </w:rPr>
        <w:t>健康有序发展。</w:t>
      </w:r>
    </w:p>
    <w:p>
      <w:pPr>
        <w:ind w:left="660"/>
        <w:spacing w:before="195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1"/>
        </w:rPr>
        <w:t>二、</w:t>
      </w:r>
      <w:r>
        <w:rPr>
          <w:rFonts w:ascii="SimHei" w:hAnsi="SimHei" w:eastAsia="SimHei" w:cs="SimHei"/>
          <w:sz w:val="31"/>
          <w:szCs w:val="31"/>
          <w:spacing w:val="-70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1"/>
        </w:rPr>
        <w:t>整治范围和重点</w:t>
      </w:r>
    </w:p>
    <w:p>
      <w:pPr>
        <w:ind w:left="46" w:right="89" w:firstLine="750"/>
        <w:spacing w:before="207" w:line="3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8"/>
        </w:rPr>
        <w:t>(一)整治范围：2019</w:t>
      </w:r>
      <w:r>
        <w:rPr>
          <w:rFonts w:ascii="FangSong" w:hAnsi="FangSong" w:eastAsia="FangSong" w:cs="FangSong"/>
          <w:sz w:val="31"/>
          <w:szCs w:val="31"/>
          <w:spacing w:val="2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8"/>
        </w:rPr>
        <w:t>年以来依法应当在黄州区公共资源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交易中心完成招投标的工程建设项目，各相关部门负责本行业专</w:t>
      </w:r>
    </w:p>
    <w:p>
      <w:pPr>
        <w:ind w:left="46"/>
        <w:spacing w:before="2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2"/>
        </w:rPr>
        <w:t>项行动。</w:t>
      </w:r>
    </w:p>
    <w:p>
      <w:pPr>
        <w:ind w:left="796"/>
        <w:spacing w:before="212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1"/>
        </w:rPr>
        <w:t>(二)整治重点：</w:t>
      </w:r>
    </w:p>
    <w:p>
      <w:pPr>
        <w:ind w:left="656"/>
        <w:spacing w:before="182" w:line="540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  <w:position w:val="17"/>
        </w:rPr>
        <w:t>1.招标人或者其委托的招标代理机构在招标过程中，与投标</w:t>
      </w:r>
    </w:p>
    <w:p>
      <w:pPr>
        <w:ind w:left="46"/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5"/>
        </w:rPr>
        <w:t>人串通的；</w:t>
      </w:r>
    </w:p>
    <w:p>
      <w:pPr>
        <w:sectPr>
          <w:footerReference w:type="default" r:id="rId4"/>
          <w:pgSz w:w="11560" w:h="16490"/>
          <w:pgMar w:top="1261" w:right="1105" w:bottom="1668" w:left="1734" w:header="0" w:footer="1430" w:gutter="0"/>
        </w:sectPr>
        <w:rPr/>
      </w:pPr>
    </w:p>
    <w:p>
      <w:pPr>
        <w:ind w:left="589"/>
        <w:spacing w:before="64"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2.投标人相互串通投标的；</w:t>
      </w:r>
    </w:p>
    <w:p>
      <w:pPr>
        <w:ind w:left="589"/>
        <w:spacing w:before="201" w:line="569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  <w:position w:val="19"/>
        </w:rPr>
        <w:t>3.投标人与评标专家串通的；</w:t>
      </w:r>
    </w:p>
    <w:p>
      <w:pPr>
        <w:ind w:left="589"/>
        <w:spacing w:before="1" w:line="218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4.转包和违法分包的。</w:t>
      </w:r>
    </w:p>
    <w:p>
      <w:pPr>
        <w:ind w:left="594"/>
        <w:spacing w:before="184" w:line="221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20"/>
        </w:rPr>
        <w:t>三、</w:t>
      </w:r>
      <w:r>
        <w:rPr>
          <w:rFonts w:ascii="SimHei" w:hAnsi="SimHei" w:eastAsia="SimHei" w:cs="SimHei"/>
          <w:sz w:val="31"/>
          <w:szCs w:val="31"/>
          <w:spacing w:val="-75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20"/>
        </w:rPr>
        <w:t>职责分工</w:t>
      </w:r>
    </w:p>
    <w:p>
      <w:pPr>
        <w:ind w:firstLine="729"/>
        <w:spacing w:before="191" w:line="33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(一)公共资源交易综合监督管理机构：查处应招未招行为、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当事人不遵守公共资源交易中心开评标现场工作规程的行为、招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投标活动程序、招标文件违反规定的行为和评标委</w:t>
      </w:r>
      <w:r>
        <w:rPr>
          <w:rFonts w:ascii="FangSong" w:hAnsi="FangSong" w:eastAsia="FangSong" w:cs="FangSong"/>
          <w:sz w:val="31"/>
          <w:szCs w:val="31"/>
          <w:spacing w:val="-7"/>
        </w:rPr>
        <w:t>员会及其成员</w:t>
      </w:r>
    </w:p>
    <w:p>
      <w:pPr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或其他当事人在评标活动中存在的违法行为。</w:t>
      </w:r>
    </w:p>
    <w:p>
      <w:pPr>
        <w:ind w:right="82" w:firstLine="729"/>
        <w:spacing w:before="191" w:line="33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(二)住建、交通、水利、农业农村等有关行政监督部门(以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5"/>
        </w:rPr>
        <w:t>下简称有关行政监督部门):查处本行业招标投标活动中串通投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标、以他人名义投标或者以其他方式弄虚作假骗取中标</w:t>
      </w:r>
      <w:r>
        <w:rPr>
          <w:rFonts w:ascii="FangSong" w:hAnsi="FangSong" w:eastAsia="FangSong" w:cs="FangSong"/>
          <w:sz w:val="31"/>
          <w:szCs w:val="31"/>
          <w:spacing w:val="-4"/>
        </w:rPr>
        <w:t>的行为；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转包、违法分包等履约方面的问题；其他应当由有关行政监督部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8"/>
        </w:rPr>
        <w:t>门查处的违规招投标问题。</w:t>
      </w:r>
    </w:p>
    <w:p>
      <w:pPr>
        <w:ind w:left="729"/>
        <w:spacing w:before="183" w:line="564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  <w:position w:val="18"/>
        </w:rPr>
        <w:t>(三)城管执法部门：对房建和市政工程领域围标串标、转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包和违法分包等违法违规行为实施行政处罚。</w:t>
      </w:r>
    </w:p>
    <w:p>
      <w:pPr>
        <w:ind w:right="103" w:firstLine="729"/>
        <w:spacing w:before="188" w:line="335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1"/>
        </w:rPr>
        <w:t>(四)公安机关：查处打击涉嫌串通投标的犯罪行为，并将</w:t>
      </w:r>
      <w:r>
        <w:rPr>
          <w:rFonts w:ascii="FangSong" w:hAnsi="FangSong" w:eastAsia="FangSong" w:cs="FangSong"/>
          <w:sz w:val="31"/>
          <w:szCs w:val="31"/>
          <w:spacing w:val="1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查处情况汇总通报综合监督管理机构和有关行政监督部门实行</w:t>
      </w:r>
    </w:p>
    <w:p>
      <w:pPr>
        <w:spacing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</w:rPr>
        <w:t>联合惩戒。</w:t>
      </w:r>
    </w:p>
    <w:p>
      <w:pPr>
        <w:ind w:right="69" w:firstLine="729"/>
        <w:spacing w:before="181" w:line="33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(五)法院、检察院等司法机关：加大对围标串标案件的</w:t>
      </w:r>
      <w:r>
        <w:rPr>
          <w:rFonts w:ascii="FangSong" w:hAnsi="FangSong" w:eastAsia="FangSong" w:cs="FangSong"/>
          <w:sz w:val="31"/>
          <w:szCs w:val="31"/>
          <w:spacing w:val="1"/>
        </w:rPr>
        <w:t>惩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戒力度，从重从严进行打击。法院负责将已判决的、检察院负责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将不需要追究刑事责任或者免予刑事处罚但应当给予</w:t>
      </w:r>
      <w:r>
        <w:rPr>
          <w:rFonts w:ascii="FangSong" w:hAnsi="FangSong" w:eastAsia="FangSong" w:cs="FangSong"/>
          <w:sz w:val="31"/>
          <w:szCs w:val="31"/>
          <w:spacing w:val="6"/>
        </w:rPr>
        <w:t>行政处罚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的围标串标案件向综合监督管理机构和有关行政监督部门通报，</w:t>
      </w:r>
    </w:p>
    <w:p>
      <w:pPr>
        <w:spacing w:before="1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2"/>
        </w:rPr>
        <w:t>实施联合惩戒。</w:t>
      </w:r>
    </w:p>
    <w:p>
      <w:pPr>
        <w:ind w:left="729"/>
        <w:spacing w:before="184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(六)审计部门：负责对年度计划内的政府投资项目建</w:t>
      </w:r>
      <w:r>
        <w:rPr>
          <w:rFonts w:ascii="FangSong" w:hAnsi="FangSong" w:eastAsia="FangSong" w:cs="FangSong"/>
          <w:sz w:val="31"/>
          <w:szCs w:val="31"/>
          <w:spacing w:val="1"/>
        </w:rPr>
        <w:t>设的</w:t>
      </w:r>
    </w:p>
    <w:p>
      <w:pPr>
        <w:sectPr>
          <w:footerReference w:type="default" r:id="rId5"/>
          <w:pgSz w:w="11760" w:h="16630"/>
          <w:pgMar w:top="1391" w:right="1615" w:bottom="1687" w:left="1469" w:header="0" w:footer="1379" w:gutter="0"/>
        </w:sectPr>
        <w:rPr/>
      </w:pPr>
    </w:p>
    <w:p>
      <w:pPr>
        <w:ind w:right="140"/>
        <w:spacing w:before="62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</w:rPr>
        <w:t>跟踪审计，配合有关行政监督部门加强对跟踪审计项目标后履约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情况的监督检查，将审计发现的招投标领域违法违规违</w:t>
      </w:r>
      <w:r>
        <w:rPr>
          <w:rFonts w:ascii="FangSong" w:hAnsi="FangSong" w:eastAsia="FangSong" w:cs="FangSong"/>
          <w:sz w:val="31"/>
          <w:szCs w:val="31"/>
          <w:spacing w:val="-5"/>
        </w:rPr>
        <w:t>纪问题，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"/>
        </w:rPr>
        <w:t>及时通报给综合监督部门、有关行政监督部门或者纪检监察部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4"/>
        </w:rPr>
        <w:t>门。</w:t>
      </w:r>
    </w:p>
    <w:p>
      <w:pPr>
        <w:ind w:right="156" w:firstLine="750"/>
        <w:spacing w:before="196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</w:rPr>
        <w:t>(七)公共资源交易中心：负责公共资源交易资料和现场监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控音像资料整理、归档、保存，为职能部门提供查询服务，</w:t>
      </w:r>
      <w:r>
        <w:rPr>
          <w:rFonts w:ascii="FangSong" w:hAnsi="FangSong" w:eastAsia="FangSong" w:cs="FangSong"/>
          <w:sz w:val="31"/>
          <w:szCs w:val="31"/>
          <w:spacing w:val="-7"/>
        </w:rPr>
        <w:t>对服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务过程中发现的违法违规行为及投标异常情况进行记录，并及时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8"/>
        </w:rPr>
        <w:t>向综合监督管理机构报告。</w:t>
      </w:r>
    </w:p>
    <w:p>
      <w:pPr>
        <w:ind w:right="60" w:firstLine="750"/>
        <w:spacing w:before="182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</w:rPr>
        <w:t>(八)纪检监察机关：查处招投标活动中公职人员涉</w:t>
      </w:r>
      <w:r>
        <w:rPr>
          <w:rFonts w:ascii="FangSong" w:hAnsi="FangSong" w:eastAsia="FangSong" w:cs="FangSong"/>
          <w:sz w:val="31"/>
          <w:szCs w:val="31"/>
          <w:spacing w:val="-7"/>
        </w:rPr>
        <w:t>嫌违纪、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7"/>
        </w:rPr>
        <w:t>职务违法、职务犯罪等问题，将涉及围标串标、转包和违法分包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7"/>
        </w:rPr>
        <w:t>线索移交有关行政监督部门。</w:t>
      </w:r>
    </w:p>
    <w:p>
      <w:pPr>
        <w:ind w:right="154" w:firstLine="750"/>
        <w:spacing w:before="191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(九)各乡镇街道：自查自纠本区域招标投标活动中应</w:t>
      </w:r>
      <w:r>
        <w:rPr>
          <w:rFonts w:ascii="FangSong" w:hAnsi="FangSong" w:eastAsia="FangSong" w:cs="FangSong"/>
          <w:sz w:val="31"/>
          <w:szCs w:val="31"/>
          <w:spacing w:val="1"/>
        </w:rPr>
        <w:t>招未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招、围标串标、转包和违法分包等违法违规行为，发现的问题线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索及时向有关行政监管部门、综合监督管理部门、纪检监察部门</w:t>
      </w:r>
    </w:p>
    <w:p>
      <w:pPr>
        <w:spacing w:before="2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移交，对涉及招标投标违法违规行为的公职人员严肃责任追究。</w:t>
      </w:r>
    </w:p>
    <w:p>
      <w:pPr>
        <w:ind w:left="644"/>
        <w:spacing w:before="218" w:line="222" w:lineRule="auto"/>
        <w:outlineLvl w:val="0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sz w:val="31"/>
          <w:szCs w:val="31"/>
          <w:b/>
          <w:bCs/>
          <w:spacing w:val="-16"/>
        </w:rPr>
        <w:t>四、</w:t>
      </w:r>
      <w:r>
        <w:rPr>
          <w:rFonts w:ascii="SimHei" w:hAnsi="SimHei" w:eastAsia="SimHei" w:cs="SimHei"/>
          <w:sz w:val="31"/>
          <w:szCs w:val="31"/>
          <w:spacing w:val="-84"/>
        </w:rPr>
        <w:t xml:space="preserve"> </w:t>
      </w:r>
      <w:r>
        <w:rPr>
          <w:rFonts w:ascii="SimHei" w:hAnsi="SimHei" w:eastAsia="SimHei" w:cs="SimHei"/>
          <w:sz w:val="31"/>
          <w:szCs w:val="31"/>
          <w:b/>
          <w:bCs/>
          <w:spacing w:val="-16"/>
        </w:rPr>
        <w:t>实施步聚</w:t>
      </w:r>
    </w:p>
    <w:p>
      <w:pPr>
        <w:ind w:right="19" w:firstLine="750"/>
        <w:spacing w:before="190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9"/>
        </w:rPr>
        <w:t>(一)动员部署(2021年11月20日-2021年11月30日)。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制定工作方案，组织召开全区打击围标串标、转包和违法分包专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项行动动员会，统一思想，提高认识，总结通报前期工程招投标</w:t>
      </w:r>
      <w:r>
        <w:rPr>
          <w:rFonts w:ascii="FangSong" w:hAnsi="FangSong" w:eastAsia="FangSong" w:cs="FangSong"/>
          <w:sz w:val="31"/>
          <w:szCs w:val="31"/>
          <w:spacing w:val="3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2"/>
        </w:rPr>
        <w:t>领域突出问题专项整治工作成果，研究部署专项行动工作安排，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7"/>
        </w:rPr>
        <w:t>明确部门工作职责和工作要求。</w:t>
      </w:r>
    </w:p>
    <w:p>
      <w:pPr>
        <w:ind w:firstLine="800"/>
        <w:spacing w:before="193" w:line="332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8"/>
        </w:rPr>
        <w:t>(二)自查自纠(2021年11月20日-2021年12月31日)。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7"/>
        </w:rPr>
        <w:t>各工程项目业主单位要对本单位工程建设项目中是否存在借资</w:t>
      </w:r>
    </w:p>
    <w:p>
      <w:pPr>
        <w:spacing w:before="1" w:line="218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质投标、围标串标、转包和违法分包等违法违规行为进行自查，</w:t>
      </w:r>
    </w:p>
    <w:p>
      <w:pPr>
        <w:sectPr>
          <w:footerReference w:type="default" r:id="rId6"/>
          <w:pgSz w:w="11560" w:h="16490"/>
          <w:pgMar w:top="1304" w:right="1224" w:bottom="1622" w:left="1629" w:header="0" w:footer="1364" w:gutter="0"/>
        </w:sectPr>
        <w:rPr/>
      </w:pPr>
    </w:p>
    <w:p>
      <w:pPr>
        <w:spacing w:before="116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</w:rPr>
        <w:t>填写自查表，详见附件1。</w:t>
      </w:r>
    </w:p>
    <w:p>
      <w:pPr>
        <w:ind w:right="62" w:firstLine="740"/>
        <w:spacing w:before="190" w:line="332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7"/>
        </w:rPr>
        <w:t>(三)行业检查(2021年11月20日-2021年12月31日)。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区住建、交通、水利、农业农村等有关行政监督部门结合各</w:t>
      </w:r>
      <w:r>
        <w:rPr>
          <w:rFonts w:ascii="FangSong" w:hAnsi="FangSong" w:eastAsia="FangSong" w:cs="FangSong"/>
          <w:sz w:val="31"/>
          <w:szCs w:val="31"/>
          <w:spacing w:val="-6"/>
        </w:rPr>
        <w:t>自职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7"/>
        </w:rPr>
        <w:t>责，负责检查本级监督管理的工程项目。要结合全省工程建设招</w:t>
      </w:r>
      <w:r>
        <w:rPr>
          <w:rFonts w:ascii="FangSong" w:hAnsi="FangSong" w:eastAsia="FangSong" w:cs="FangSong"/>
          <w:sz w:val="31"/>
          <w:szCs w:val="31"/>
          <w:spacing w:val="15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投标“双随机一公开”检查工作和全省建筑市场“三包一挂”专</w:t>
      </w:r>
      <w:r>
        <w:rPr>
          <w:rFonts w:ascii="FangSong" w:hAnsi="FangSong" w:eastAsia="FangSong" w:cs="FangSong"/>
          <w:sz w:val="31"/>
          <w:szCs w:val="31"/>
          <w:spacing w:val="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项整治工作进行全面调查摸底，加强分析研判和排查，逐个项目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</w:rPr>
        <w:t>建立工作台账，填写检查表，详见附件2。</w:t>
      </w:r>
    </w:p>
    <w:p>
      <w:pPr>
        <w:ind w:right="61" w:firstLine="740"/>
        <w:spacing w:before="186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3"/>
        </w:rPr>
        <w:t>(四)联合检查(2022年1月1日-</w:t>
      </w:r>
      <w:r>
        <w:rPr>
          <w:rFonts w:ascii="FangSong" w:hAnsi="FangSong" w:eastAsia="FangSong" w:cs="FangSong"/>
          <w:sz w:val="31"/>
          <w:szCs w:val="31"/>
          <w:spacing w:val="-7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3"/>
        </w:rPr>
        <w:t>2022年4月30日)。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根据项目业主单位自查和有关行政监督部门检查情况，由区</w:t>
      </w:r>
      <w:r>
        <w:rPr>
          <w:rFonts w:ascii="FangSong" w:hAnsi="FangSong" w:eastAsia="FangSong" w:cs="FangSong"/>
          <w:sz w:val="31"/>
          <w:szCs w:val="31"/>
          <w:spacing w:val="-5"/>
        </w:rPr>
        <w:t>综合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监督管理机构按照“双随机一公开”要求，牵头组织相关行政监</w:t>
      </w:r>
      <w:r>
        <w:rPr>
          <w:rFonts w:ascii="FangSong" w:hAnsi="FangSong" w:eastAsia="FangSong" w:cs="FangSong"/>
          <w:sz w:val="31"/>
          <w:szCs w:val="31"/>
          <w:spacing w:val="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1"/>
        </w:rPr>
        <w:t>督部门对2019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1"/>
        </w:rPr>
        <w:t>年以来依法应当在公共资源交易中心进场交易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2"/>
        </w:rPr>
        <w:t>的项目开展联合抽查检查，搜集违法违规问题线索，对有投诉、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举报的项目，进行重点检查。</w:t>
      </w:r>
    </w:p>
    <w:p>
      <w:pPr>
        <w:ind w:right="62" w:firstLine="740"/>
        <w:spacing w:before="197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3"/>
        </w:rPr>
        <w:t>(五)打击处理(2022年5月1日-</w:t>
      </w:r>
      <w:r>
        <w:rPr>
          <w:rFonts w:ascii="FangSong" w:hAnsi="FangSong" w:eastAsia="FangSong" w:cs="FangSong"/>
          <w:sz w:val="31"/>
          <w:szCs w:val="31"/>
          <w:spacing w:val="-7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43"/>
        </w:rPr>
        <w:t>2022年6月30日)。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综合监督管理机构负责对监督检查中发现的问题线索进行分类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汇总，按照分级管理、部门分工的原则进行处理或移交处理，线</w:t>
      </w:r>
      <w:r>
        <w:rPr>
          <w:rFonts w:ascii="FangSong" w:hAnsi="FangSong" w:eastAsia="FangSong" w:cs="FangSong"/>
          <w:sz w:val="31"/>
          <w:szCs w:val="31"/>
          <w:spacing w:val="1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索接受部门要建立台账，逐一核查、依法处理，及时向综合监督</w:t>
      </w:r>
    </w:p>
    <w:p>
      <w:pPr>
        <w:spacing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7"/>
        </w:rPr>
        <w:t>管理机构反馈处理情况。</w:t>
      </w:r>
    </w:p>
    <w:p>
      <w:pPr>
        <w:ind w:right="11" w:firstLine="740"/>
        <w:spacing w:before="187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41"/>
        </w:rPr>
        <w:t>(六)总结提升(2022年7月1日-2022年11月30日</w:t>
      </w:r>
      <w:r>
        <w:rPr>
          <w:rFonts w:ascii="FangSong" w:hAnsi="FangSong" w:eastAsia="FangSong" w:cs="FangSong"/>
          <w:sz w:val="31"/>
          <w:szCs w:val="31"/>
          <w:spacing w:val="40"/>
        </w:rPr>
        <w:t>)。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对查实的违法违规行为，各部门要按照职责分工进行行政处</w:t>
      </w:r>
      <w:r>
        <w:rPr>
          <w:rFonts w:ascii="FangSong" w:hAnsi="FangSong" w:eastAsia="FangSong" w:cs="FangSong"/>
          <w:sz w:val="31"/>
          <w:szCs w:val="31"/>
          <w:spacing w:val="-6"/>
        </w:rPr>
        <w:t>罚并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4"/>
        </w:rPr>
        <w:t>公开。对围标串标、转包和违法分包等情节严重的违法违</w:t>
      </w:r>
      <w:r>
        <w:rPr>
          <w:rFonts w:ascii="FangSong" w:hAnsi="FangSong" w:eastAsia="FangSong" w:cs="FangSong"/>
          <w:sz w:val="31"/>
          <w:szCs w:val="31"/>
          <w:spacing w:val="-5"/>
        </w:rPr>
        <w:t>规行为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要依法取消其进入公共资源交易中心参与投标的资格、责令停业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整顿或吊销资质证书，并纳入湖北省公共资源交易“黑名单”管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理。各相关部门要对整治工作进行总结，针对问题，认真研究分</w:t>
      </w:r>
    </w:p>
    <w:p>
      <w:pPr>
        <w:sectPr>
          <w:footerReference w:type="default" r:id="rId7"/>
          <w:pgSz w:w="11720" w:h="16600"/>
          <w:pgMar w:top="1411" w:right="1653" w:bottom="1567" w:left="1380" w:header="0" w:footer="1301" w:gutter="0"/>
        </w:sectPr>
        <w:rPr/>
      </w:pPr>
    </w:p>
    <w:p>
      <w:pPr>
        <w:ind w:right="116"/>
        <w:spacing w:before="64" w:line="340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析，完善相关制度，采取有效措施及时堵塞漏洞，构建长效管理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机制。区各行政监督部门于2022年11月15</w:t>
      </w:r>
      <w:r>
        <w:rPr>
          <w:rFonts w:ascii="FangSong" w:hAnsi="FangSong" w:eastAsia="FangSong" w:cs="FangSong"/>
          <w:sz w:val="31"/>
          <w:szCs w:val="31"/>
          <w:spacing w:val="-36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13"/>
        </w:rPr>
        <w:t>日前将工作成</w:t>
      </w:r>
      <w:r>
        <w:rPr>
          <w:rFonts w:ascii="FangSong" w:hAnsi="FangSong" w:eastAsia="FangSong" w:cs="FangSong"/>
          <w:sz w:val="31"/>
          <w:szCs w:val="31"/>
          <w:spacing w:val="12"/>
        </w:rPr>
        <w:t>效报</w:t>
      </w:r>
    </w:p>
    <w:p>
      <w:pPr>
        <w:spacing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17"/>
        </w:rPr>
        <w:t>区公共资源交易监管局(联系人：范启超，联系电话0713-8876169)。</w:t>
      </w:r>
    </w:p>
    <w:p>
      <w:pPr>
        <w:ind w:left="664"/>
        <w:spacing w:before="167" w:line="221" w:lineRule="auto"/>
        <w:outlineLvl w:val="0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b/>
          <w:bCs/>
          <w:spacing w:val="-22"/>
        </w:rPr>
        <w:t>五、</w:t>
      </w:r>
      <w:r>
        <w:rPr>
          <w:rFonts w:ascii="FangSong" w:hAnsi="FangSong" w:eastAsia="FangSong" w:cs="FangSong"/>
          <w:sz w:val="31"/>
          <w:szCs w:val="31"/>
          <w:spacing w:val="-70"/>
        </w:rPr>
        <w:t xml:space="preserve"> </w:t>
      </w:r>
      <w:r>
        <w:rPr>
          <w:rFonts w:ascii="FangSong" w:hAnsi="FangSong" w:eastAsia="FangSong" w:cs="FangSong"/>
          <w:sz w:val="31"/>
          <w:szCs w:val="31"/>
          <w:b/>
          <w:bCs/>
          <w:spacing w:val="-22"/>
        </w:rPr>
        <w:t>保障措施</w:t>
      </w:r>
    </w:p>
    <w:p>
      <w:pPr>
        <w:ind w:right="123" w:firstLine="740"/>
        <w:spacing w:before="196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2"/>
        </w:rPr>
        <w:t>(一)加强组织领导。成立区专项行动工作领导小组，区委</w:t>
      </w:r>
      <w:r>
        <w:rPr>
          <w:rFonts w:ascii="FangSong" w:hAnsi="FangSong" w:eastAsia="FangSong" w:cs="FangSong"/>
          <w:sz w:val="31"/>
          <w:szCs w:val="31"/>
          <w:spacing w:val="13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常委、常务副区长张竞平同志为组长，区委常委、副区长林岚为</w:t>
      </w:r>
      <w:r>
        <w:rPr>
          <w:rFonts w:ascii="FangSong" w:hAnsi="FangSong" w:eastAsia="FangSong" w:cs="FangSong"/>
          <w:sz w:val="31"/>
          <w:szCs w:val="31"/>
          <w:spacing w:val="1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副组长，区法院、检察院、公安、发改、住建、交通、水利、农</w:t>
      </w:r>
      <w:r>
        <w:rPr>
          <w:rFonts w:ascii="FangSong" w:hAnsi="FangSong" w:eastAsia="FangSong" w:cs="FangSong"/>
          <w:sz w:val="31"/>
          <w:szCs w:val="31"/>
          <w:spacing w:val="1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业农村、城管执法、审计、区公共资源交易中心等相关单位主要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负责人为成员。区公共资源交易监督管理局主要</w:t>
      </w:r>
      <w:r>
        <w:rPr>
          <w:rFonts w:ascii="FangSong" w:hAnsi="FangSong" w:eastAsia="FangSong" w:cs="FangSong"/>
          <w:sz w:val="31"/>
          <w:szCs w:val="31"/>
          <w:spacing w:val="-5"/>
        </w:rPr>
        <w:t>负责人为领导小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组办公室主任，负责专项行动日常工作。</w:t>
      </w:r>
    </w:p>
    <w:p>
      <w:pPr>
        <w:ind w:firstLine="740"/>
        <w:spacing w:before="199" w:line="333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</w:rPr>
        <w:t>(二)健全联动机制。</w:t>
      </w:r>
      <w:r>
        <w:rPr>
          <w:rFonts w:ascii="FangSong" w:hAnsi="FangSong" w:eastAsia="FangSong" w:cs="FangSong"/>
          <w:sz w:val="31"/>
          <w:szCs w:val="31"/>
          <w:spacing w:val="8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一是建立联席会议机制，定期召开专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项行动领导小组联席会议，通报专项行动开展情况和典型案例，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3"/>
        </w:rPr>
        <w:t>研究开展专项行动中存在的问题，研究解决措施。二是建立联合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执法机制，整合综合监督管理机构、有关行政监督部门和</w:t>
      </w:r>
      <w:r>
        <w:rPr>
          <w:rFonts w:ascii="FangSong" w:hAnsi="FangSong" w:eastAsia="FangSong" w:cs="FangSong"/>
          <w:sz w:val="31"/>
          <w:szCs w:val="31"/>
          <w:spacing w:val="-6"/>
        </w:rPr>
        <w:t>公安部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3"/>
        </w:rPr>
        <w:t>门的办案资源和力量，组成专项检查组或专案组，对情况复杂、</w:t>
      </w:r>
      <w:r>
        <w:rPr>
          <w:rFonts w:ascii="FangSong" w:hAnsi="FangSong" w:eastAsia="FangSong" w:cs="FangSong"/>
          <w:sz w:val="31"/>
          <w:szCs w:val="31"/>
          <w:spacing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涉及面广或情节严重的围标串标、转包和违法分包案件进行查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11"/>
        </w:rPr>
        <w:t>处。三是建立信息联通机制。综合监管机构、有关行政监督部门、</w:t>
      </w:r>
      <w:r>
        <w:rPr>
          <w:rFonts w:ascii="FangSong" w:hAnsi="FangSong" w:eastAsia="FangSong" w:cs="FangSong"/>
          <w:sz w:val="31"/>
          <w:szCs w:val="31"/>
          <w:spacing w:val="12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司法机关要及时互通查处情况，实现行政执法和刑事司法无缝衔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接，实行联合惩戒。各单位要指定专人负责收集问题线索，建立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13"/>
        </w:rPr>
        <w:t>台账，加强与专项行动领导小组办公室对接，定期移交问题线索。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6"/>
        </w:rPr>
        <w:t>四是各行政监督部门及综合监督管理机构要细化方案相应制</w:t>
      </w:r>
      <w:r>
        <w:rPr>
          <w:rFonts w:ascii="FangSong" w:hAnsi="FangSong" w:eastAsia="FangSong" w:cs="FangSong"/>
          <w:sz w:val="31"/>
          <w:szCs w:val="31"/>
          <w:spacing w:val="5"/>
        </w:rPr>
        <w:t>定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工作落实方案压实相关责任。</w:t>
      </w:r>
    </w:p>
    <w:p>
      <w:pPr>
        <w:ind w:left="740"/>
        <w:spacing w:before="192" w:line="560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  <w:position w:val="18"/>
        </w:rPr>
        <w:t>(三)建立长效机制。</w:t>
      </w:r>
      <w:r>
        <w:rPr>
          <w:rFonts w:ascii="FangSong" w:hAnsi="FangSong" w:eastAsia="FangSong" w:cs="FangSong"/>
          <w:sz w:val="31"/>
          <w:szCs w:val="31"/>
          <w:spacing w:val="82"/>
          <w:position w:val="18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  <w:position w:val="18"/>
        </w:rPr>
        <w:t>一是全面推进“评定分离”改革。全</w:t>
      </w:r>
    </w:p>
    <w:p>
      <w:pPr>
        <w:spacing w:before="1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面压实招标人主体责任，推进招标人权责对等，强化对定标候选</w:t>
      </w:r>
    </w:p>
    <w:p>
      <w:pPr>
        <w:sectPr>
          <w:footerReference w:type="default" r:id="rId8"/>
          <w:pgSz w:w="11560" w:h="16490"/>
          <w:pgMar w:top="1395" w:right="1185" w:bottom="1559" w:left="1689" w:header="0" w:footer="1291" w:gutter="0"/>
        </w:sectPr>
        <w:rPr/>
      </w:pPr>
    </w:p>
    <w:p>
      <w:pPr>
        <w:spacing w:before="60" w:line="334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</w:rPr>
        <w:t>人履约能力、信用状况审查，存在围标串标、转包和违法分包等</w:t>
      </w:r>
      <w:r>
        <w:rPr>
          <w:rFonts w:ascii="FangSong" w:hAnsi="FangSong" w:eastAsia="FangSong" w:cs="FangSong"/>
          <w:sz w:val="31"/>
          <w:szCs w:val="31"/>
          <w:spacing w:val="7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违法违规行为的企业不得定为中标人。将定标权交还招标人，让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评标专家回归专业顾问角色，有效切断投标人与评标专家利益关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5"/>
        </w:rPr>
        <w:t>联。二是开展建筑企业诚信评价。住建部门负责制定建筑市场各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方主体诚信评价相关管理办法和评价标准，实行企业信用等级动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5"/>
        </w:rPr>
        <w:t>态评价，在开展行政许可、市场准入、招标投标、工程担保与保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5"/>
        </w:rPr>
        <w:t>险、资质管理、表彰评优等工作时，将诚信评价作为重要考量因</w:t>
      </w:r>
      <w:r>
        <w:rPr>
          <w:rFonts w:ascii="FangSong" w:hAnsi="FangSong" w:eastAsia="FangSong" w:cs="FangSong"/>
          <w:sz w:val="31"/>
          <w:szCs w:val="31"/>
          <w:spacing w:val="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素，对诚信评价等级低的企业实行市场禁入，对诚信评价良好的</w:t>
      </w:r>
      <w:r>
        <w:rPr>
          <w:rFonts w:ascii="FangSong" w:hAnsi="FangSong" w:eastAsia="FangSong" w:cs="FangSong"/>
          <w:sz w:val="31"/>
          <w:szCs w:val="31"/>
          <w:spacing w:val="8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企业在招投标中实行奖励加分。三是严格施工现场管理。明确现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5"/>
        </w:rPr>
        <w:t>场监管责任，项目业主单位和有关行政监督部门要指定分管领导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12"/>
        </w:rPr>
        <w:t>和现场监管人员，对各项目派驻现场的项目负责人、技术负责人、</w:t>
      </w:r>
      <w:r>
        <w:rPr>
          <w:rFonts w:ascii="FangSong" w:hAnsi="FangSong" w:eastAsia="FangSong" w:cs="FangSong"/>
          <w:sz w:val="31"/>
          <w:szCs w:val="31"/>
          <w:spacing w:val="5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6"/>
        </w:rPr>
        <w:t>总监和“五大员”等人员是否与投标承诺一致进行签字背书。建</w:t>
      </w:r>
      <w:r>
        <w:rPr>
          <w:rFonts w:ascii="FangSong" w:hAnsi="FangSong" w:eastAsia="FangSong" w:cs="FangSong"/>
          <w:sz w:val="31"/>
          <w:szCs w:val="31"/>
          <w:spacing w:val="4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4"/>
        </w:rPr>
        <w:t>立施工现场管理台帐，项目业主单位对现场人员进行常</w:t>
      </w:r>
      <w:r>
        <w:rPr>
          <w:rFonts w:ascii="FangSong" w:hAnsi="FangSong" w:eastAsia="FangSong" w:cs="FangSong"/>
          <w:sz w:val="31"/>
          <w:szCs w:val="31"/>
          <w:spacing w:val="-5"/>
        </w:rPr>
        <w:t>态检查，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z w:val="31"/>
          <w:szCs w:val="31"/>
          <w:spacing w:val="-7"/>
        </w:rPr>
        <w:t>如实记录到岗履责情况，并对记录情况真实性、准确性负责，发</w:t>
      </w:r>
      <w:r>
        <w:rPr>
          <w:rFonts w:ascii="FangSong" w:hAnsi="FangSong" w:eastAsia="FangSong" w:cs="FangSong"/>
          <w:sz w:val="31"/>
          <w:szCs w:val="31"/>
          <w:spacing w:val="6"/>
        </w:rPr>
        <w:t xml:space="preserve">   </w:t>
      </w:r>
      <w:r>
        <w:rPr>
          <w:rFonts w:ascii="FangSong" w:hAnsi="FangSong" w:eastAsia="FangSong" w:cs="FangSong"/>
          <w:sz w:val="31"/>
          <w:szCs w:val="31"/>
          <w:spacing w:val="-7"/>
        </w:rPr>
        <w:t>现问题及时纠正并同时向有关行政监督部门报告。实行“实名制”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管理，有关行政监督部门通过“人脸识别”系统采集分析现场人</w:t>
      </w:r>
    </w:p>
    <w:p>
      <w:pPr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2"/>
        </w:rPr>
        <w:t>员在岗信息，对相关人员每月在岗时间少于应到岗时间80%的，</w:t>
      </w:r>
    </w:p>
    <w:p>
      <w:pPr>
        <w:spacing w:before="190" w:line="564" w:lineRule="exact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6"/>
          <w:position w:val="18"/>
        </w:rPr>
        <w:t>应将该项目列入重点监控对象，全面核查其围标串标、</w:t>
      </w:r>
      <w:r>
        <w:rPr>
          <w:rFonts w:ascii="FangSong" w:hAnsi="FangSong" w:eastAsia="FangSong" w:cs="FangSong"/>
          <w:sz w:val="31"/>
          <w:szCs w:val="31"/>
          <w:spacing w:val="-7"/>
          <w:position w:val="18"/>
        </w:rPr>
        <w:t>转包和违</w:t>
      </w:r>
    </w:p>
    <w:p>
      <w:pPr>
        <w:spacing w:before="1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7"/>
        </w:rPr>
        <w:t>法分包行为。</w:t>
      </w:r>
    </w:p>
    <w:p>
      <w:pPr>
        <w:ind w:right="235" w:firstLine="759"/>
        <w:spacing w:before="186" w:line="341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7"/>
        </w:rPr>
        <w:t>(四)加强宣传引导。</w:t>
      </w:r>
      <w:r>
        <w:rPr>
          <w:rFonts w:ascii="FangSong" w:hAnsi="FangSong" w:eastAsia="FangSong" w:cs="FangSong"/>
          <w:sz w:val="31"/>
          <w:szCs w:val="31"/>
          <w:spacing w:val="7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7"/>
        </w:rPr>
        <w:t>一是加强社会宣传。各部门负责本行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7"/>
        </w:rPr>
        <w:t>业的专项行动社会宣传，多途径、全方位发布专项行动公告，提</w:t>
      </w:r>
      <w:r>
        <w:rPr>
          <w:rFonts w:ascii="FangSong" w:hAnsi="FangSong" w:eastAsia="FangSong" w:cs="FangSong"/>
          <w:sz w:val="31"/>
          <w:szCs w:val="31"/>
          <w:spacing w:val="17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高社会和市场主体知晓率。二是加大项目宣传。对正在招标的项</w:t>
      </w:r>
      <w:r>
        <w:rPr>
          <w:rFonts w:ascii="FangSong" w:hAnsi="FangSong" w:eastAsia="FangSong" w:cs="FangSong"/>
          <w:sz w:val="31"/>
          <w:szCs w:val="31"/>
          <w:spacing w:val="9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6"/>
        </w:rPr>
        <w:t>目和在建项目发布开展专项行动的公开信，提醒招标人、投标企</w:t>
      </w:r>
    </w:p>
    <w:p>
      <w:pPr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业依法依规开展招投标活动。对项目招标活动中是否存在围</w:t>
      </w:r>
      <w:r>
        <w:rPr>
          <w:rFonts w:ascii="FangSong" w:hAnsi="FangSong" w:eastAsia="FangSong" w:cs="FangSong"/>
          <w:sz w:val="31"/>
          <w:szCs w:val="31"/>
          <w:spacing w:val="-6"/>
        </w:rPr>
        <w:t>标串</w:t>
      </w:r>
    </w:p>
    <w:p>
      <w:pPr>
        <w:sectPr>
          <w:footerReference w:type="default" r:id="rId9"/>
          <w:pgSz w:w="11560" w:h="16490"/>
          <w:pgMar w:top="1401" w:right="1422" w:bottom="1507" w:left="1340" w:header="0" w:footer="1241" w:gutter="0"/>
        </w:sectPr>
        <w:rPr/>
      </w:pPr>
    </w:p>
    <w:p>
      <w:pPr>
        <w:ind w:left="55" w:right="8"/>
        <w:spacing w:before="63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4"/>
        </w:rPr>
        <w:t>标，由招标单位负责人进行签字背书。三是加大警示</w:t>
      </w:r>
      <w:r>
        <w:rPr>
          <w:rFonts w:ascii="FangSong" w:hAnsi="FangSong" w:eastAsia="FangSong" w:cs="FangSong"/>
          <w:sz w:val="31"/>
          <w:szCs w:val="31"/>
          <w:spacing w:val="-5"/>
        </w:rPr>
        <w:t>宣传。要求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投标企业作出在投标时不参与围标串标、在中标后不转包和违法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分包的书面承诺，并明确如有违反一律纳入“</w:t>
      </w:r>
      <w:r>
        <w:rPr>
          <w:rFonts w:ascii="FangSong" w:hAnsi="FangSong" w:eastAsia="FangSong" w:cs="FangSong"/>
          <w:sz w:val="31"/>
          <w:szCs w:val="31"/>
          <w:spacing w:val="-5"/>
        </w:rPr>
        <w:t>黑名单”管理。四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是加大案例宣传。定期公布专项行动成果，加大典型案例曝光力</w:t>
      </w:r>
    </w:p>
    <w:p>
      <w:pPr>
        <w:ind w:left="55"/>
        <w:spacing w:line="223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度，形成严厉打击的高压态势。</w:t>
      </w:r>
    </w:p>
    <w:p>
      <w:pPr>
        <w:ind w:left="55" w:firstLine="740"/>
        <w:spacing w:before="215" w:line="334" w:lineRule="auto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3"/>
        </w:rPr>
        <w:t>(五)严肃责任追究。对查实存在围标串标、转包和违法分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4"/>
        </w:rPr>
        <w:t>包行为的项目，不仅要追究参与企业的直接责任，还要倒查招标</w:t>
      </w:r>
      <w:r>
        <w:rPr>
          <w:rFonts w:ascii="FangSong" w:hAnsi="FangSong" w:eastAsia="FangSong" w:cs="FangSong"/>
          <w:sz w:val="31"/>
          <w:szCs w:val="31"/>
          <w:spacing w:val="10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人项目管理主体责任、监理单位监理责任和有关行政监督部门监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  <w:spacing w:val="-5"/>
        </w:rPr>
        <w:t>管责任，对该发现问题未发现，或发现问题知情况不报，甚至相</w:t>
      </w:r>
    </w:p>
    <w:p>
      <w:pPr>
        <w:ind w:left="55"/>
        <w:spacing w:line="21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spacing w:val="-5"/>
        </w:rPr>
        <w:t>互串通、通风报信等行为，依纪依法严肃问责。</w:t>
      </w:r>
    </w:p>
    <w:p>
      <w:pPr>
        <w:sectPr>
          <w:footerReference w:type="default" r:id="rId10"/>
          <w:pgSz w:w="11760" w:h="16630"/>
          <w:pgMar w:top="1374" w:right="1360" w:bottom="1631" w:left="1764" w:header="0" w:footer="1403" w:gutter="0"/>
        </w:sectPr>
        <w:rPr/>
      </w:pPr>
    </w:p>
    <w:p>
      <w:pPr>
        <w:ind w:left="74"/>
        <w:spacing w:before="66" w:line="222" w:lineRule="auto"/>
        <w:rPr>
          <w:rFonts w:ascii="FangSong" w:hAnsi="FangSong" w:eastAsia="FangSong" w:cs="FangSong"/>
          <w:sz w:val="32"/>
          <w:szCs w:val="32"/>
        </w:rPr>
      </w:pPr>
      <w:r>
        <w:rPr>
          <w:rFonts w:ascii="FangSong" w:hAnsi="FangSong" w:eastAsia="FangSong" w:cs="FangSong"/>
          <w:sz w:val="32"/>
          <w:szCs w:val="32"/>
          <w:spacing w:val="14"/>
        </w:rPr>
        <w:t>附件1</w:t>
      </w:r>
    </w:p>
    <w:p>
      <w:pPr>
        <w:ind w:left="2319"/>
        <w:spacing w:before="203" w:line="220" w:lineRule="auto"/>
        <w:rPr>
          <w:rFonts w:ascii="SimSun" w:hAnsi="SimSun" w:eastAsia="SimSun" w:cs="SimSun"/>
          <w:sz w:val="32"/>
          <w:szCs w:val="32"/>
        </w:rPr>
      </w:pPr>
      <w:r>
        <w:rPr>
          <w:rFonts w:ascii="SimSun" w:hAnsi="SimSun" w:eastAsia="SimSun" w:cs="SimSun"/>
          <w:sz w:val="32"/>
          <w:szCs w:val="32"/>
          <w:b/>
          <w:bCs/>
          <w:spacing w:val="-14"/>
        </w:rPr>
        <w:t>项目业主单位自查自纠记录表</w:t>
      </w:r>
    </w:p>
    <w:p>
      <w:pPr>
        <w:ind w:left="35"/>
        <w:spacing w:before="77" w:line="219" w:lineRule="auto"/>
        <w:rPr>
          <w:rFonts w:ascii="SimSun" w:hAnsi="SimSun" w:eastAsia="SimSun" w:cs="SimSun"/>
          <w:sz w:val="23"/>
          <w:szCs w:val="23"/>
        </w:rPr>
      </w:pPr>
      <w:r>
        <w:rPr>
          <w:rFonts w:ascii="SimSun" w:hAnsi="SimSun" w:eastAsia="SimSun" w:cs="SimSun"/>
          <w:sz w:val="23"/>
          <w:szCs w:val="23"/>
          <w:spacing w:val="4"/>
        </w:rPr>
        <w:t>填报单位(盖公章):</w:t>
      </w:r>
    </w:p>
    <w:p>
      <w:pPr>
        <w:spacing w:line="44" w:lineRule="exact"/>
        <w:rPr/>
      </w:pPr>
      <w:r/>
    </w:p>
    <w:tbl>
      <w:tblPr>
        <w:tblStyle w:val="2"/>
        <w:tblW w:w="874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1603"/>
        <w:gridCol w:w="350"/>
        <w:gridCol w:w="2167"/>
        <w:gridCol w:w="1279"/>
        <w:gridCol w:w="1418"/>
        <w:gridCol w:w="1923"/>
      </w:tblGrid>
      <w:tr>
        <w:trPr>
          <w:trHeight w:val="434" w:hRule="atLeast"/>
        </w:trPr>
        <w:tc>
          <w:tcPr>
            <w:tcW w:w="1603" w:type="dxa"/>
            <w:vAlign w:val="top"/>
          </w:tcPr>
          <w:p>
            <w:pPr>
              <w:ind w:left="335"/>
              <w:spacing w:before="10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工程名称</w:t>
            </w:r>
          </w:p>
        </w:tc>
        <w:tc>
          <w:tcPr>
            <w:tcW w:w="7137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0" w:hRule="atLeast"/>
        </w:trPr>
        <w:tc>
          <w:tcPr>
            <w:tcW w:w="1603" w:type="dxa"/>
            <w:vAlign w:val="top"/>
          </w:tcPr>
          <w:p>
            <w:pPr>
              <w:ind w:left="335"/>
              <w:spacing w:before="100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工程代码</w:t>
            </w:r>
          </w:p>
        </w:tc>
        <w:tc>
          <w:tcPr>
            <w:tcW w:w="7137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0" w:hRule="atLeast"/>
        </w:trPr>
        <w:tc>
          <w:tcPr>
            <w:tcW w:w="1603" w:type="dxa"/>
            <w:vAlign w:val="top"/>
          </w:tcPr>
          <w:p>
            <w:pPr>
              <w:ind w:left="335"/>
              <w:spacing w:before="101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5"/>
              </w:rPr>
              <w:t>工程地点</w:t>
            </w:r>
          </w:p>
        </w:tc>
        <w:tc>
          <w:tcPr>
            <w:tcW w:w="7137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619" w:hRule="atLeast"/>
        </w:trPr>
        <w:tc>
          <w:tcPr>
            <w:tcW w:w="1603" w:type="dxa"/>
            <w:vAlign w:val="top"/>
          </w:tcPr>
          <w:p>
            <w:pPr>
              <w:ind w:left="105"/>
              <w:spacing w:before="201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施工许可证号</w:t>
            </w:r>
          </w:p>
        </w:tc>
        <w:tc>
          <w:tcPr>
            <w:tcW w:w="2517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ind w:left="174"/>
              <w:spacing w:before="201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>开工日期</w:t>
            </w:r>
          </w:p>
        </w:tc>
        <w:tc>
          <w:tcPr>
            <w:tcW w:w="3341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0" w:hRule="atLeast"/>
        </w:trPr>
        <w:tc>
          <w:tcPr>
            <w:tcW w:w="1603" w:type="dxa"/>
            <w:vAlign w:val="top"/>
          </w:tcPr>
          <w:p>
            <w:pPr>
              <w:ind w:left="335"/>
              <w:spacing w:before="12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建设规模</w:t>
            </w:r>
          </w:p>
        </w:tc>
        <w:tc>
          <w:tcPr>
            <w:tcW w:w="7137" w:type="dxa"/>
            <w:vAlign w:val="top"/>
            <w:gridSpan w:val="5"/>
          </w:tcPr>
          <w:p>
            <w:pPr>
              <w:ind w:left="2011"/>
              <w:spacing w:before="109" w:line="228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6"/>
              </w:rPr>
              <w:t>m²(中标价：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 xml:space="preserve">         </w:t>
            </w:r>
            <w:r>
              <w:rPr>
                <w:rFonts w:ascii="SimSun" w:hAnsi="SimSun" w:eastAsia="SimSun" w:cs="SimSun"/>
                <w:sz w:val="23"/>
                <w:szCs w:val="23"/>
                <w:spacing w:val="16"/>
              </w:rPr>
              <w:t>万元)</w:t>
            </w:r>
          </w:p>
        </w:tc>
      </w:tr>
      <w:tr>
        <w:trPr>
          <w:trHeight w:val="429" w:hRule="atLeast"/>
        </w:trPr>
        <w:tc>
          <w:tcPr>
            <w:tcW w:w="8740" w:type="dxa"/>
            <w:vAlign w:val="top"/>
            <w:gridSpan w:val="6"/>
          </w:tcPr>
          <w:p>
            <w:pPr>
              <w:ind w:left="3445"/>
              <w:spacing w:before="101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市场各方主体情况</w:t>
            </w:r>
          </w:p>
        </w:tc>
      </w:tr>
      <w:tr>
        <w:trPr>
          <w:trHeight w:val="839" w:hRule="atLeast"/>
        </w:trPr>
        <w:tc>
          <w:tcPr>
            <w:tcW w:w="1953" w:type="dxa"/>
            <w:vAlign w:val="top"/>
            <w:gridSpan w:val="2"/>
          </w:tcPr>
          <w:p>
            <w:pPr>
              <w:ind w:left="735"/>
              <w:spacing w:before="313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单位</w:t>
            </w:r>
          </w:p>
        </w:tc>
        <w:tc>
          <w:tcPr>
            <w:tcW w:w="2167" w:type="dxa"/>
            <w:vAlign w:val="top"/>
          </w:tcPr>
          <w:p>
            <w:pPr>
              <w:ind w:left="612"/>
              <w:spacing w:before="313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单位名称</w:t>
            </w:r>
          </w:p>
        </w:tc>
        <w:tc>
          <w:tcPr>
            <w:tcW w:w="1279" w:type="dxa"/>
            <w:vAlign w:val="top"/>
          </w:tcPr>
          <w:p>
            <w:pPr>
              <w:ind w:left="174"/>
              <w:spacing w:before="313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6"/>
              </w:rPr>
              <w:t>单位资质</w:t>
            </w:r>
          </w:p>
        </w:tc>
        <w:tc>
          <w:tcPr>
            <w:tcW w:w="1418" w:type="dxa"/>
            <w:vAlign w:val="top"/>
          </w:tcPr>
          <w:p>
            <w:pPr>
              <w:ind w:left="474" w:right="122" w:hanging="349"/>
              <w:spacing w:before="142" w:line="262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项目负责人</w:t>
            </w:r>
            <w:r>
              <w:rPr>
                <w:rFonts w:ascii="SimSun" w:hAnsi="SimSun" w:eastAsia="SimSun" w:cs="SimSun"/>
                <w:sz w:val="23"/>
                <w:szCs w:val="23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14"/>
              </w:rPr>
              <w:t>姓名</w:t>
            </w:r>
          </w:p>
        </w:tc>
        <w:tc>
          <w:tcPr>
            <w:tcW w:w="1923" w:type="dxa"/>
            <w:vAlign w:val="top"/>
          </w:tcPr>
          <w:p>
            <w:pPr>
              <w:ind w:left="148"/>
              <w:spacing w:before="312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项目负责人资格</w:t>
            </w:r>
          </w:p>
        </w:tc>
      </w:tr>
      <w:tr>
        <w:trPr>
          <w:trHeight w:val="440" w:hRule="atLeast"/>
        </w:trPr>
        <w:tc>
          <w:tcPr>
            <w:tcW w:w="1953" w:type="dxa"/>
            <w:vAlign w:val="top"/>
            <w:gridSpan w:val="2"/>
          </w:tcPr>
          <w:p>
            <w:pPr>
              <w:ind w:left="505"/>
              <w:spacing w:before="114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建设单位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9" w:hRule="atLeast"/>
        </w:trPr>
        <w:tc>
          <w:tcPr>
            <w:tcW w:w="1953" w:type="dxa"/>
            <w:vAlign w:val="top"/>
            <w:gridSpan w:val="2"/>
          </w:tcPr>
          <w:p>
            <w:pPr>
              <w:ind w:left="164"/>
              <w:spacing w:before="103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6"/>
              </w:rPr>
              <w:t>代建单位(如有)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39" w:hRule="atLeast"/>
        </w:trPr>
        <w:tc>
          <w:tcPr>
            <w:tcW w:w="1953" w:type="dxa"/>
            <w:vAlign w:val="top"/>
            <w:gridSpan w:val="2"/>
          </w:tcPr>
          <w:p>
            <w:pPr>
              <w:ind w:left="394" w:right="347"/>
              <w:spacing w:before="143" w:line="263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工程总承包</w:t>
            </w:r>
            <w:r>
              <w:rPr>
                <w:rFonts w:ascii="SimSun" w:hAnsi="SimSun" w:eastAsia="SimSun" w:cs="SimSun"/>
                <w:sz w:val="23"/>
                <w:szCs w:val="23"/>
              </w:rPr>
              <w:t xml:space="preserve"> </w:t>
            </w:r>
            <w:r>
              <w:rPr>
                <w:rFonts w:ascii="SimSun" w:hAnsi="SimSun" w:eastAsia="SimSun" w:cs="SimSun"/>
                <w:sz w:val="23"/>
                <w:szCs w:val="23"/>
                <w:spacing w:val="8"/>
              </w:rPr>
              <w:t>单位(如有)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49" w:hRule="atLeast"/>
        </w:trPr>
        <w:tc>
          <w:tcPr>
            <w:tcW w:w="1953" w:type="dxa"/>
            <w:vAlign w:val="top"/>
            <w:gridSpan w:val="2"/>
          </w:tcPr>
          <w:p>
            <w:pPr>
              <w:ind w:left="394"/>
              <w:spacing w:before="145" w:line="381" w:lineRule="exact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  <w:position w:val="11"/>
              </w:rPr>
              <w:t>施工总承包</w:t>
            </w:r>
          </w:p>
          <w:p>
            <w:pPr>
              <w:ind w:left="735"/>
              <w:spacing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单位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0" w:hRule="atLeast"/>
        </w:trPr>
        <w:tc>
          <w:tcPr>
            <w:tcW w:w="1953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ind w:left="505"/>
              <w:spacing w:before="146" w:line="401" w:lineRule="exact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  <w:position w:val="12"/>
              </w:rPr>
              <w:t>专业承包</w:t>
            </w:r>
          </w:p>
          <w:p>
            <w:pPr>
              <w:ind w:left="735"/>
              <w:spacing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3"/>
              </w:rPr>
              <w:t>单位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0" w:hRule="atLeast"/>
        </w:trPr>
        <w:tc>
          <w:tcPr>
            <w:tcW w:w="1953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29" w:hRule="atLeast"/>
        </w:trPr>
        <w:tc>
          <w:tcPr>
            <w:tcW w:w="1953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spacing w:line="250" w:lineRule="auto"/>
              <w:rPr>
                <w:rFonts w:ascii="Arial"/>
                <w:sz w:val="21"/>
              </w:rPr>
            </w:pPr>
            <w:r/>
          </w:p>
          <w:p>
            <w:pPr>
              <w:ind w:left="505"/>
              <w:spacing w:before="75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分包单位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0" w:hRule="atLeast"/>
        </w:trPr>
        <w:tc>
          <w:tcPr>
            <w:tcW w:w="1953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439" w:hRule="atLeast"/>
        </w:trPr>
        <w:tc>
          <w:tcPr>
            <w:tcW w:w="1953" w:type="dxa"/>
            <w:vAlign w:val="top"/>
            <w:gridSpan w:val="2"/>
          </w:tcPr>
          <w:p>
            <w:pPr>
              <w:ind w:left="505"/>
              <w:spacing w:before="118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监理单位</w:t>
            </w:r>
          </w:p>
        </w:tc>
        <w:tc>
          <w:tcPr>
            <w:tcW w:w="2167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7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41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923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1923" w:hRule="atLeast"/>
        </w:trPr>
        <w:tc>
          <w:tcPr>
            <w:tcW w:w="1953" w:type="dxa"/>
            <w:vAlign w:val="top"/>
            <w:gridSpan w:val="2"/>
          </w:tcPr>
          <w:p>
            <w:pPr>
              <w:ind w:left="164"/>
              <w:spacing w:before="88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1"/>
              </w:rPr>
              <w:t>是否存在应招未</w:t>
            </w:r>
          </w:p>
          <w:p>
            <w:pPr>
              <w:ind w:left="44"/>
              <w:spacing w:before="116" w:line="22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7"/>
              </w:rPr>
              <w:t>招、借资质投标、</w:t>
            </w:r>
          </w:p>
          <w:p>
            <w:pPr>
              <w:ind w:left="44"/>
              <w:spacing w:before="111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围标串标、转包和</w:t>
            </w:r>
          </w:p>
          <w:p>
            <w:pPr>
              <w:ind w:left="164"/>
              <w:spacing w:before="115" w:line="219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-2"/>
              </w:rPr>
              <w:t>违法分包等违法</w:t>
            </w:r>
          </w:p>
          <w:p>
            <w:pPr>
              <w:ind w:left="505"/>
              <w:spacing w:before="107" w:line="220" w:lineRule="auto"/>
              <w:rPr>
                <w:rFonts w:ascii="SimSun" w:hAnsi="SimSun" w:eastAsia="SimSun" w:cs="SimSun"/>
                <w:sz w:val="23"/>
                <w:szCs w:val="23"/>
              </w:rPr>
            </w:pPr>
            <w:r>
              <w:rPr>
                <w:rFonts w:ascii="SimSun" w:hAnsi="SimSun" w:eastAsia="SimSun" w:cs="SimSun"/>
                <w:sz w:val="23"/>
                <w:szCs w:val="23"/>
                <w:spacing w:val="2"/>
              </w:rPr>
              <w:t>违规行为</w:t>
            </w:r>
          </w:p>
        </w:tc>
        <w:tc>
          <w:tcPr>
            <w:tcW w:w="6787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rPr>
          <w:rFonts w:ascii="Arial"/>
          <w:sz w:val="21"/>
        </w:rPr>
      </w:pPr>
      <w:r/>
    </w:p>
    <w:p>
      <w:pPr>
        <w:sectPr>
          <w:footerReference w:type="default" r:id="rId11"/>
          <w:pgSz w:w="11820" w:h="16670"/>
          <w:pgMar w:top="1405" w:right="1594" w:bottom="1672" w:left="1474" w:header="0" w:footer="1414" w:gutter="0"/>
        </w:sectPr>
        <w:rPr/>
      </w:pPr>
    </w:p>
    <w:p>
      <w:pPr>
        <w:ind w:left="515"/>
        <w:spacing w:before="68" w:line="222" w:lineRule="auto"/>
        <w:rPr>
          <w:rFonts w:ascii="FangSong" w:hAnsi="FangSong" w:eastAsia="FangSong" w:cs="FangSong"/>
          <w:sz w:val="33"/>
          <w:szCs w:val="33"/>
        </w:rPr>
      </w:pPr>
      <w:r>
        <w:rPr>
          <w:rFonts w:ascii="FangSong" w:hAnsi="FangSong" w:eastAsia="FangSong" w:cs="FangSong"/>
          <w:sz w:val="33"/>
          <w:szCs w:val="33"/>
          <w:spacing w:val="5"/>
        </w:rPr>
        <w:t>附件2</w:t>
      </w:r>
    </w:p>
    <w:p>
      <w:pPr>
        <w:ind w:left="3719"/>
        <w:spacing w:before="99" w:line="219" w:lineRule="auto"/>
        <w:rPr>
          <w:rFonts w:ascii="SimSun" w:hAnsi="SimSun" w:eastAsia="SimSun" w:cs="SimSun"/>
          <w:sz w:val="30"/>
          <w:szCs w:val="30"/>
        </w:rPr>
      </w:pPr>
      <w:r>
        <w:rPr>
          <w:rFonts w:ascii="SimSun" w:hAnsi="SimSun" w:eastAsia="SimSun" w:cs="SimSun"/>
          <w:sz w:val="30"/>
          <w:szCs w:val="30"/>
          <w:b/>
          <w:bCs/>
          <w:spacing w:val="-3"/>
        </w:rPr>
        <w:t>行业检查记录表</w:t>
      </w:r>
    </w:p>
    <w:p>
      <w:pPr>
        <w:spacing w:line="113" w:lineRule="auto"/>
        <w:rPr>
          <w:rFonts w:ascii="Arial"/>
          <w:sz w:val="2"/>
        </w:rPr>
      </w:pPr>
      <w:r>
        <w:rPr>
          <w:rFonts w:ascii="Arial"/>
          <w:sz w:val="2"/>
        </w:rPr>
      </w:r>
    </w:p>
    <w:tbl>
      <w:tblPr>
        <w:tblStyle w:val="2"/>
        <w:tblW w:w="9550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594"/>
        <w:gridCol w:w="849"/>
        <w:gridCol w:w="739"/>
        <w:gridCol w:w="4336"/>
        <w:gridCol w:w="1798"/>
        <w:gridCol w:w="1234"/>
      </w:tblGrid>
      <w:tr>
        <w:trPr>
          <w:trHeight w:val="614" w:hRule="atLeast"/>
        </w:trPr>
        <w:tc>
          <w:tcPr>
            <w:tcW w:w="1443" w:type="dxa"/>
            <w:vAlign w:val="top"/>
            <w:gridSpan w:val="2"/>
          </w:tcPr>
          <w:p>
            <w:pPr>
              <w:ind w:left="274"/>
              <w:spacing w:before="204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工程名称</w:t>
            </w:r>
          </w:p>
        </w:tc>
        <w:tc>
          <w:tcPr>
            <w:tcW w:w="8107" w:type="dxa"/>
            <w:vAlign w:val="top"/>
            <w:gridSpan w:val="4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1443" w:type="dxa"/>
            <w:vAlign w:val="top"/>
            <w:gridSpan w:val="2"/>
          </w:tcPr>
          <w:p>
            <w:pPr>
              <w:ind w:left="274"/>
              <w:spacing w:before="19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0"/>
              </w:rPr>
              <w:t>检查项目</w:t>
            </w:r>
          </w:p>
        </w:tc>
        <w:tc>
          <w:tcPr>
            <w:tcW w:w="739" w:type="dxa"/>
            <w:vAlign w:val="top"/>
          </w:tcPr>
          <w:p>
            <w:pPr>
              <w:ind w:left="141"/>
              <w:spacing w:before="191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序号</w:t>
            </w:r>
          </w:p>
        </w:tc>
        <w:tc>
          <w:tcPr>
            <w:tcW w:w="4336" w:type="dxa"/>
            <w:vAlign w:val="top"/>
          </w:tcPr>
          <w:p>
            <w:pPr>
              <w:ind w:left="1712"/>
              <w:spacing w:before="19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7"/>
              </w:rPr>
              <w:t>检查内容</w:t>
            </w:r>
          </w:p>
        </w:tc>
        <w:tc>
          <w:tcPr>
            <w:tcW w:w="1798" w:type="dxa"/>
            <w:vAlign w:val="top"/>
          </w:tcPr>
          <w:p>
            <w:pPr>
              <w:ind w:left="457"/>
              <w:spacing w:before="19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检查结果</w:t>
            </w:r>
          </w:p>
        </w:tc>
        <w:tc>
          <w:tcPr>
            <w:tcW w:w="1234" w:type="dxa"/>
            <w:vAlign w:val="top"/>
          </w:tcPr>
          <w:p>
            <w:pPr>
              <w:ind w:left="388" w:right="183" w:hanging="219"/>
              <w:spacing w:before="50" w:line="22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检查情况</w:t>
            </w: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描述</w:t>
            </w:r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3439"/>
              <w:spacing w:before="218" w:line="21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人员情况</w:t>
            </w:r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91" w:right="165"/>
              <w:spacing w:before="53" w:line="231" w:lineRule="auto"/>
              <w:jc w:val="both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2"/>
              </w:rPr>
              <w:t>项</w:t>
            </w:r>
            <w:r>
              <w:rPr>
                <w:rFonts w:ascii="SimSun" w:hAnsi="SimSun" w:eastAsia="SimSun" w:cs="SimSun"/>
                <w:sz w:val="22"/>
                <w:szCs w:val="22"/>
                <w:spacing w:val="-6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32"/>
              </w:rPr>
              <w:t>目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管理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机构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106" w:line="183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position w:val="-2"/>
              </w:rPr>
              <w:t>1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39" w:line="21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1"/>
              </w:rPr>
              <w:t>在施工现场设立项目管理机构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0" w:line="20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237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2</w:t>
            </w:r>
          </w:p>
        </w:tc>
        <w:tc>
          <w:tcPr>
            <w:tcW w:w="4336" w:type="dxa"/>
            <w:vAlign w:val="top"/>
          </w:tcPr>
          <w:p>
            <w:pPr>
              <w:ind w:left="112" w:right="143"/>
              <w:spacing w:before="49" w:line="22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施工单位依据投标承诺派驻项目经理、技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术负责人、“五大员”等相应管理人员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8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79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71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项</w:t>
            </w:r>
            <w:r>
              <w:rPr>
                <w:rFonts w:ascii="SimSun" w:hAnsi="SimSun" w:eastAsia="SimSun" w:cs="SimSun"/>
                <w:sz w:val="22"/>
                <w:szCs w:val="22"/>
                <w:spacing w:val="-5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目</w:t>
            </w:r>
          </w:p>
          <w:p>
            <w:pPr>
              <w:ind w:left="191"/>
              <w:spacing w:before="3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负责</w:t>
            </w:r>
          </w:p>
          <w:p>
            <w:pPr>
              <w:ind w:left="301"/>
              <w:spacing w:before="22" w:line="22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人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108" w:line="182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position w:val="-2"/>
              </w:rPr>
              <w:t>3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71" w:line="19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1"/>
              </w:rPr>
              <w:t>项目经理与施工单位订立劳动合同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2" w:line="20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248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4</w:t>
            </w:r>
          </w:p>
        </w:tc>
        <w:tc>
          <w:tcPr>
            <w:tcW w:w="4336" w:type="dxa"/>
            <w:vAlign w:val="top"/>
          </w:tcPr>
          <w:p>
            <w:pPr>
              <w:ind w:left="112" w:right="105"/>
              <w:spacing w:before="71" w:line="21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1"/>
              </w:rPr>
              <w:t>项目经理社会保险在施工总承包单位缴</w:t>
            </w:r>
            <w:r>
              <w:rPr>
                <w:rFonts w:ascii="SimSun" w:hAnsi="SimSun" w:eastAsia="SimSun" w:cs="SimSun"/>
                <w:sz w:val="22"/>
                <w:szCs w:val="22"/>
                <w:spacing w:val="9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</w:rPr>
              <w:t>纳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92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141" w:line="148" w:lineRule="exact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position w:val="-3"/>
              </w:rPr>
              <w:t>5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3"/>
              </w:rPr>
              <w:t>项目经理工资由施工总承包单位支付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139" w:line="151" w:lineRule="exact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position w:val="-3"/>
              </w:rPr>
              <w:t>6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83" w:line="191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1"/>
              </w:rPr>
              <w:t>项目经理按投标承诺到岗履职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91"/>
              <w:spacing w:before="224" w:line="21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项</w:t>
            </w:r>
            <w:r>
              <w:rPr>
                <w:rFonts w:ascii="SimSun" w:hAnsi="SimSun" w:eastAsia="SimSun" w:cs="SimSun"/>
                <w:sz w:val="22"/>
                <w:szCs w:val="22"/>
                <w:spacing w:val="-5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目</w:t>
            </w:r>
          </w:p>
          <w:p>
            <w:pPr>
              <w:ind w:left="191"/>
              <w:spacing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技术</w:t>
            </w:r>
          </w:p>
          <w:p>
            <w:pPr>
              <w:ind w:left="191"/>
              <w:spacing w:before="49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负责</w:t>
            </w:r>
          </w:p>
          <w:p>
            <w:pPr>
              <w:ind w:left="301"/>
              <w:spacing w:before="52" w:line="22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人</w:t>
            </w:r>
          </w:p>
        </w:tc>
        <w:tc>
          <w:tcPr>
            <w:tcW w:w="739" w:type="dxa"/>
            <w:vAlign w:val="top"/>
          </w:tcPr>
          <w:p>
            <w:pPr>
              <w:ind w:left="301"/>
              <w:spacing w:before="111" w:line="178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position w:val="-2"/>
              </w:rPr>
              <w:t>7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1"/>
              </w:rPr>
              <w:t>技术负责人与施工单位订立劳动合同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249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8</w:t>
            </w:r>
          </w:p>
        </w:tc>
        <w:tc>
          <w:tcPr>
            <w:tcW w:w="4336" w:type="dxa"/>
            <w:vAlign w:val="top"/>
          </w:tcPr>
          <w:p>
            <w:pPr>
              <w:ind w:left="112" w:right="104"/>
              <w:spacing w:before="71" w:line="21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1"/>
              </w:rPr>
              <w:t>技术负责人社会保险在施工总承包单位</w:t>
            </w:r>
            <w:r>
              <w:rPr>
                <w:rFonts w:ascii="SimSun" w:hAnsi="SimSun" w:eastAsia="SimSun" w:cs="SimSun"/>
                <w:sz w:val="22"/>
                <w:szCs w:val="22"/>
                <w:spacing w:val="10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32"/>
              </w:rPr>
              <w:t>缴纳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93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301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position w:val="-2"/>
              </w:rPr>
              <w:t>9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技术负责人工资由施工总承包单位支付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符合口不符合□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99" w:line="16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10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84" w:line="190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2"/>
              </w:rPr>
              <w:t>技术负责人按投标承诺到岗履职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290" w:lineRule="auto"/>
              <w:rPr>
                <w:rFonts w:ascii="Arial"/>
                <w:sz w:val="21"/>
              </w:rPr>
            </w:pPr>
            <w:r/>
          </w:p>
          <w:p>
            <w:pPr>
              <w:spacing w:line="291" w:lineRule="auto"/>
              <w:rPr>
                <w:rFonts w:ascii="Arial"/>
                <w:sz w:val="21"/>
              </w:rPr>
            </w:pPr>
            <w:r/>
          </w:p>
          <w:p>
            <w:pPr>
              <w:ind w:left="81"/>
              <w:spacing w:before="71" w:line="22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“</w:t>
            </w:r>
            <w:r>
              <w:rPr>
                <w:rFonts w:ascii="SimSun" w:hAnsi="SimSun" w:eastAsia="SimSun" w:cs="SimSun"/>
                <w:sz w:val="22"/>
                <w:szCs w:val="22"/>
                <w:spacing w:val="14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五</w:t>
            </w:r>
          </w:p>
          <w:p>
            <w:pPr>
              <w:ind w:left="80"/>
              <w:spacing w:before="15" w:line="256" w:lineRule="exact"/>
              <w:rPr>
                <w:rFonts w:ascii="SimSun" w:hAnsi="SimSun" w:eastAsia="SimSun" w:cs="SimSun"/>
                <w:sz w:val="19"/>
                <w:szCs w:val="19"/>
              </w:rPr>
            </w:pPr>
            <w:r>
              <w:rPr>
                <w:rFonts w:ascii="SimSun" w:hAnsi="SimSun" w:eastAsia="SimSun" w:cs="SimSun"/>
                <w:sz w:val="19"/>
                <w:szCs w:val="19"/>
                <w:spacing w:val="37"/>
                <w:position w:val="1"/>
              </w:rPr>
              <w:t>大员</w:t>
            </w:r>
            <w:r>
              <w:rPr>
                <w:rFonts w:ascii="SimSun" w:hAnsi="SimSun" w:eastAsia="SimSun" w:cs="SimSun"/>
                <w:sz w:val="19"/>
                <w:szCs w:val="19"/>
                <w:spacing w:val="-19"/>
                <w:position w:val="1"/>
              </w:rPr>
              <w:t xml:space="preserve"> </w:t>
            </w:r>
            <w:r>
              <w:rPr>
                <w:rFonts w:ascii="SimSun" w:hAnsi="SimSun" w:eastAsia="SimSun" w:cs="SimSun"/>
                <w:sz w:val="19"/>
                <w:szCs w:val="19"/>
                <w:spacing w:val="37"/>
                <w:position w:val="1"/>
              </w:rPr>
              <w:t>”</w:t>
            </w:r>
          </w:p>
        </w:tc>
        <w:tc>
          <w:tcPr>
            <w:tcW w:w="739" w:type="dxa"/>
            <w:vAlign w:val="top"/>
          </w:tcPr>
          <w:p>
            <w:pPr>
              <w:ind w:left="252"/>
              <w:spacing w:before="109" w:line="181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11</w:t>
            </w:r>
          </w:p>
        </w:tc>
        <w:tc>
          <w:tcPr>
            <w:tcW w:w="4336" w:type="dxa"/>
            <w:vAlign w:val="top"/>
          </w:tcPr>
          <w:p>
            <w:pPr>
              <w:ind w:left="2"/>
              <w:spacing w:before="73" w:line="19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3"/>
              </w:rPr>
              <w:t>“五大员”与施工单位订立劳动合同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3" w:line="20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249" w:line="18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12</w:t>
            </w:r>
          </w:p>
        </w:tc>
        <w:tc>
          <w:tcPr>
            <w:tcW w:w="4336" w:type="dxa"/>
            <w:vAlign w:val="top"/>
          </w:tcPr>
          <w:p>
            <w:pPr>
              <w:ind w:left="112" w:right="245" w:hanging="110"/>
              <w:spacing w:before="63" w:line="21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6"/>
              </w:rPr>
              <w:t>“五大员”社会保险在施工总承包单位缴</w:t>
            </w:r>
            <w:r>
              <w:rPr>
                <w:rFonts w:ascii="SimSun" w:hAnsi="SimSun" w:eastAsia="SimSun" w:cs="SimSun"/>
                <w:sz w:val="22"/>
                <w:szCs w:val="22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</w:rPr>
              <w:t>纳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9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90" w:line="15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</w:rPr>
              <w:t>13</w:t>
            </w:r>
          </w:p>
        </w:tc>
        <w:tc>
          <w:tcPr>
            <w:tcW w:w="4336" w:type="dxa"/>
            <w:vAlign w:val="top"/>
          </w:tcPr>
          <w:p>
            <w:pPr>
              <w:ind w:left="2"/>
              <w:spacing w:before="65" w:line="18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2"/>
              </w:rPr>
              <w:t>“五大员”工资由施工总承包单位支付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34" w:line="20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2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14</w:t>
            </w:r>
          </w:p>
        </w:tc>
        <w:tc>
          <w:tcPr>
            <w:tcW w:w="4336" w:type="dxa"/>
            <w:vAlign w:val="top"/>
          </w:tcPr>
          <w:p>
            <w:pPr>
              <w:ind w:left="2"/>
              <w:spacing w:before="85" w:line="18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4"/>
              </w:rPr>
              <w:t>“五大员”按投标承诺到岗履职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4" w:line="21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431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71" w:line="22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总监</w:t>
            </w:r>
          </w:p>
        </w:tc>
        <w:tc>
          <w:tcPr>
            <w:tcW w:w="739" w:type="dxa"/>
            <w:vAlign w:val="top"/>
          </w:tcPr>
          <w:p>
            <w:pPr>
              <w:ind w:left="252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15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4" w:line="20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总监与监理单位订立劳动合同</w:t>
            </w:r>
          </w:p>
        </w:tc>
        <w:tc>
          <w:tcPr>
            <w:tcW w:w="1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16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63" w:line="19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1"/>
              </w:rPr>
              <w:t>总监社会保险在监理单位缴纳</w:t>
            </w:r>
          </w:p>
        </w:tc>
        <w:tc>
          <w:tcPr>
            <w:tcW w:w="1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17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64" w:line="18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3"/>
              </w:rPr>
              <w:t>总监工资由监理单位支付</w:t>
            </w:r>
          </w:p>
        </w:tc>
        <w:tc>
          <w:tcPr>
            <w:tcW w:w="1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18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75" w:line="18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3"/>
              </w:rPr>
              <w:t>总监按投标承诺到岗履职</w:t>
            </w:r>
          </w:p>
        </w:tc>
        <w:tc>
          <w:tcPr>
            <w:tcW w:w="179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91"/>
              <w:spacing w:before="85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分包</w:t>
            </w:r>
          </w:p>
          <w:p>
            <w:pPr>
              <w:ind w:left="191"/>
              <w:spacing w:before="27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单位</w:t>
            </w:r>
          </w:p>
          <w:p>
            <w:pPr>
              <w:ind w:left="191"/>
              <w:spacing w:before="2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7"/>
              </w:rPr>
              <w:t>负责</w:t>
            </w:r>
          </w:p>
          <w:p>
            <w:pPr>
              <w:ind w:left="301"/>
              <w:spacing w:before="2" w:line="22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</w:rPr>
              <w:t>人</w:t>
            </w:r>
          </w:p>
        </w:tc>
        <w:tc>
          <w:tcPr>
            <w:tcW w:w="739" w:type="dxa"/>
            <w:vAlign w:val="top"/>
          </w:tcPr>
          <w:p>
            <w:pPr>
              <w:ind w:left="252"/>
              <w:spacing w:before="11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7"/>
                <w:position w:val="-2"/>
              </w:rPr>
              <w:t>19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4" w:line="21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</w:rPr>
              <w:t>分包单位现场负责人与分包单位订立劳动合同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4" w:line="20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21" w:line="178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-2"/>
              </w:rPr>
              <w:t>20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44" w:line="225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</w:rPr>
              <w:t>分包单位现场负责人社会保险在分包单位缴纳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4" w:line="21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00" w:line="18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-2"/>
              </w:rPr>
              <w:t>21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65" w:line="18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9"/>
              </w:rPr>
              <w:t>分包单位现场负责人工资由分包单位支付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34" w:line="20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30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21" w:line="178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-2"/>
              </w:rPr>
              <w:t>22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85" w:line="189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0"/>
              </w:rPr>
              <w:t>分包单位现场负责人按合同约定到岗履职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44" w:line="21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869" w:hRule="atLeast"/>
        </w:trPr>
        <w:tc>
          <w:tcPr>
            <w:tcW w:w="59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1077"/>
              <w:spacing w:before="208" w:line="217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工程合同情况</w:t>
            </w:r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spacing w:line="421" w:lineRule="auto"/>
              <w:rPr>
                <w:rFonts w:ascii="Arial"/>
                <w:sz w:val="21"/>
              </w:rPr>
            </w:pPr>
            <w:r/>
          </w:p>
          <w:p>
            <w:pPr>
              <w:ind w:left="191"/>
              <w:spacing w:before="72" w:line="32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7"/>
              </w:rPr>
              <w:t>专业</w:t>
            </w:r>
          </w:p>
          <w:p>
            <w:pPr>
              <w:ind w:left="191"/>
              <w:spacing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分包</w:t>
            </w:r>
          </w:p>
          <w:p>
            <w:pPr>
              <w:ind w:left="191"/>
              <w:spacing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9"/>
              </w:rPr>
              <w:t>合同</w:t>
            </w:r>
          </w:p>
        </w:tc>
        <w:tc>
          <w:tcPr>
            <w:tcW w:w="739" w:type="dxa"/>
            <w:vAlign w:val="top"/>
          </w:tcPr>
          <w:p>
            <w:pPr>
              <w:spacing w:line="318" w:lineRule="auto"/>
              <w:rPr>
                <w:rFonts w:ascii="Arial"/>
                <w:sz w:val="21"/>
              </w:rPr>
            </w:pPr>
            <w:r/>
          </w:p>
          <w:p>
            <w:pPr>
              <w:ind w:left="252"/>
              <w:spacing w:before="71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23</w:t>
            </w:r>
          </w:p>
        </w:tc>
        <w:tc>
          <w:tcPr>
            <w:tcW w:w="4336" w:type="dxa"/>
            <w:vAlign w:val="top"/>
          </w:tcPr>
          <w:p>
            <w:pPr>
              <w:ind w:left="112" w:right="102"/>
              <w:spacing w:before="53" w:line="239" w:lineRule="auto"/>
              <w:jc w:val="both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4"/>
              </w:rPr>
              <w:t>专业分包工程(土方、支护、桩基、防水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3"/>
              </w:rPr>
              <w:t>等)由中标单位发包，分包单位是否具有</w:t>
            </w: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2"/>
              </w:rPr>
              <w:t>相应的资质及安全生产许可证书</w:t>
            </w:r>
          </w:p>
        </w:tc>
        <w:tc>
          <w:tcPr>
            <w:tcW w:w="1798" w:type="dxa"/>
            <w:vAlign w:val="top"/>
          </w:tcPr>
          <w:p>
            <w:pPr>
              <w:spacing w:line="262" w:lineRule="auto"/>
              <w:rPr>
                <w:rFonts w:ascii="Arial"/>
                <w:sz w:val="21"/>
              </w:rPr>
            </w:pPr>
            <w:r/>
          </w:p>
          <w:p>
            <w:pPr>
              <w:ind w:left="127"/>
              <w:spacing w:before="7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252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24</w:t>
            </w:r>
          </w:p>
        </w:tc>
        <w:tc>
          <w:tcPr>
            <w:tcW w:w="4336" w:type="dxa"/>
            <w:vAlign w:val="top"/>
          </w:tcPr>
          <w:p>
            <w:pPr>
              <w:ind w:left="112" w:right="80"/>
              <w:spacing w:before="86" w:line="21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3"/>
              </w:rPr>
              <w:t>总承包单位不存在将房屋建筑工程的主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25"/>
              </w:rPr>
              <w:t>体结构分包(钢结构除外)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96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03" w:line="177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-2"/>
              </w:rPr>
              <w:t>25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36" w:line="214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1"/>
              </w:rPr>
              <w:t>专业分包单位不存在再分包(劳务作业除外)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36" w:line="20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91"/>
              <w:spacing w:before="206" w:line="311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  <w:position w:val="6"/>
              </w:rPr>
              <w:t>劳务</w:t>
            </w:r>
          </w:p>
          <w:p>
            <w:pPr>
              <w:ind w:left="191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分包</w:t>
            </w:r>
          </w:p>
          <w:p>
            <w:pPr>
              <w:ind w:left="191"/>
              <w:spacing w:before="10" w:line="22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9"/>
              </w:rPr>
              <w:t>合同</w:t>
            </w:r>
          </w:p>
        </w:tc>
        <w:tc>
          <w:tcPr>
            <w:tcW w:w="739" w:type="dxa"/>
            <w:vAlign w:val="top"/>
          </w:tcPr>
          <w:p>
            <w:pPr>
              <w:ind w:left="252"/>
              <w:spacing w:before="243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26</w:t>
            </w:r>
          </w:p>
        </w:tc>
        <w:tc>
          <w:tcPr>
            <w:tcW w:w="4336" w:type="dxa"/>
            <w:vAlign w:val="top"/>
          </w:tcPr>
          <w:p>
            <w:pPr>
              <w:ind w:left="112" w:right="104"/>
              <w:spacing w:before="55" w:line="230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8"/>
              </w:rPr>
              <w:t>劳务分包作业由中标单位发包，劳务单位</w:t>
            </w:r>
            <w:r>
              <w:rPr>
                <w:rFonts w:ascii="SimSun" w:hAnsi="SimSun" w:eastAsia="SimSun" w:cs="SimSun"/>
                <w:sz w:val="21"/>
                <w:szCs w:val="21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3"/>
              </w:rPr>
              <w:t>具有相应的资质及安全生产许可证书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87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254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27</w:t>
            </w:r>
          </w:p>
        </w:tc>
        <w:tc>
          <w:tcPr>
            <w:tcW w:w="4336" w:type="dxa"/>
            <w:vAlign w:val="top"/>
          </w:tcPr>
          <w:p>
            <w:pPr>
              <w:ind w:left="112" w:right="103"/>
              <w:spacing w:before="77" w:line="225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1"/>
              </w:rPr>
              <w:t>劳务分包单位不存在将其承包的劳务再</w:t>
            </w:r>
            <w:r>
              <w:rPr>
                <w:rFonts w:ascii="SimSun" w:hAnsi="SimSun" w:eastAsia="SimSun" w:cs="SimSun"/>
                <w:sz w:val="21"/>
                <w:szCs w:val="21"/>
                <w:spacing w:val="1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5"/>
              </w:rPr>
              <w:t>分包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198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80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restart"/>
            <w:tcBorders>
              <w:bottom w:val="none" w:color="000000" w:sz="2" w:space="0"/>
            </w:tcBorders>
          </w:tcPr>
          <w:p>
            <w:pPr>
              <w:ind w:left="191"/>
              <w:spacing w:before="77" w:line="22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材料</w:t>
            </w:r>
          </w:p>
          <w:p>
            <w:pPr>
              <w:ind w:left="191"/>
              <w:spacing w:line="198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设备</w:t>
            </w:r>
          </w:p>
        </w:tc>
        <w:tc>
          <w:tcPr>
            <w:tcW w:w="739" w:type="dxa"/>
            <w:vAlign w:val="top"/>
          </w:tcPr>
          <w:p>
            <w:pPr>
              <w:ind w:left="252"/>
              <w:spacing w:before="105" w:line="175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-2"/>
              </w:rPr>
              <w:t>28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68" w:line="18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3"/>
              </w:rPr>
              <w:t>材料、设备采购合同由中标单位签订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39" w:line="202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97" w:hRule="atLeast"/>
        </w:trPr>
        <w:tc>
          <w:tcPr>
            <w:tcW w:w="59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49" w:type="dxa"/>
            <w:vAlign w:val="top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2"/>
              <w:spacing w:before="106" w:line="16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29</w:t>
            </w:r>
          </w:p>
        </w:tc>
        <w:tc>
          <w:tcPr>
            <w:tcW w:w="4336" w:type="dxa"/>
            <w:vAlign w:val="top"/>
          </w:tcPr>
          <w:p>
            <w:pPr>
              <w:ind w:left="112"/>
              <w:spacing w:before="87" w:line="193" w:lineRule="auto"/>
              <w:rPr>
                <w:rFonts w:ascii="SimSun" w:hAnsi="SimSun" w:eastAsia="SimSun" w:cs="SimSun"/>
                <w:sz w:val="20"/>
                <w:szCs w:val="20"/>
              </w:rPr>
            </w:pPr>
            <w:r>
              <w:rPr>
                <w:rFonts w:ascii="SimSun" w:hAnsi="SimSun" w:eastAsia="SimSun" w:cs="SimSun"/>
                <w:sz w:val="20"/>
                <w:szCs w:val="20"/>
                <w:spacing w:val="33"/>
              </w:rPr>
              <w:t>材料、设备租赁合同由中标单位签订</w:t>
            </w:r>
          </w:p>
        </w:tc>
        <w:tc>
          <w:tcPr>
            <w:tcW w:w="1798" w:type="dxa"/>
            <w:vAlign w:val="top"/>
          </w:tcPr>
          <w:p>
            <w:pPr>
              <w:ind w:left="127"/>
              <w:spacing w:before="78" w:line="19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4"/>
              </w:rPr>
              <w:t>符合□不符合□</w:t>
            </w:r>
          </w:p>
        </w:tc>
        <w:tc>
          <w:tcPr>
            <w:tcW w:w="123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</w:tbl>
    <w:p>
      <w:pPr>
        <w:spacing w:line="151" w:lineRule="exact"/>
        <w:rPr>
          <w:rFonts w:ascii="Arial"/>
          <w:sz w:val="13"/>
        </w:rPr>
      </w:pPr>
      <w:r/>
    </w:p>
    <w:p>
      <w:pPr>
        <w:sectPr>
          <w:footerReference w:type="default" r:id="rId12"/>
          <w:pgSz w:w="11560" w:h="16490"/>
          <w:pgMar w:top="1133" w:right="874" w:bottom="1690" w:left="1124" w:header="0" w:footer="1421" w:gutter="0"/>
        </w:sectPr>
        <w:rPr/>
      </w:pPr>
    </w:p>
    <w:tbl>
      <w:tblPr>
        <w:tblStyle w:val="2"/>
        <w:tblW w:w="9449" w:type="dxa"/>
        <w:tblInd w:w="5" w:type="dxa"/>
        <w:tblLayout w:type="fixed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</w:tblPr>
      <w:tblGrid>
        <w:gridCol w:w="604"/>
        <w:gridCol w:w="130"/>
        <w:gridCol w:w="729"/>
        <w:gridCol w:w="739"/>
        <w:gridCol w:w="2647"/>
        <w:gridCol w:w="1648"/>
        <w:gridCol w:w="1748"/>
        <w:gridCol w:w="1204"/>
      </w:tblGrid>
      <w:tr>
        <w:trPr>
          <w:trHeight w:val="295" w:hRule="atLeast"/>
        </w:trPr>
        <w:tc>
          <w:tcPr>
            <w:tcW w:w="6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</w:tcPr>
          <w:p>
            <w:pPr>
              <w:ind w:left="200"/>
              <w:spacing w:before="45" w:line="20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9"/>
              </w:rPr>
              <w:t>合同</w:t>
            </w:r>
          </w:p>
        </w:tc>
        <w:tc>
          <w:tcPr>
            <w:tcW w:w="739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4295" w:type="dxa"/>
            <w:vAlign w:val="top"/>
            <w:gridSpan w:val="2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748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9" w:hRule="atLeast"/>
        </w:trPr>
        <w:tc>
          <w:tcPr>
            <w:tcW w:w="604" w:type="dxa"/>
            <w:vAlign w:val="top"/>
            <w:vMerge w:val="restart"/>
            <w:textDirection w:val="tbRlV"/>
            <w:tcBorders>
              <w:bottom w:val="none" w:color="000000" w:sz="2" w:space="0"/>
            </w:tcBorders>
          </w:tcPr>
          <w:p>
            <w:pPr>
              <w:ind w:left="1741"/>
              <w:spacing w:before="189" w:line="21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>工程款项支付情况</w:t>
            </w:r>
          </w:p>
        </w:tc>
        <w:tc>
          <w:tcPr>
            <w:tcW w:w="859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ind w:left="200"/>
              <w:spacing w:before="309" w:line="310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6"/>
              </w:rPr>
              <w:t>专业</w:t>
            </w:r>
          </w:p>
          <w:p>
            <w:pPr>
              <w:ind w:left="200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分包</w:t>
            </w:r>
          </w:p>
        </w:tc>
        <w:tc>
          <w:tcPr>
            <w:tcW w:w="739" w:type="dxa"/>
            <w:vAlign w:val="top"/>
          </w:tcPr>
          <w:p>
            <w:pPr>
              <w:ind w:left="251"/>
              <w:spacing w:before="245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30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152"/>
              <w:spacing w:before="38" w:line="231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7"/>
              </w:rPr>
              <w:t>专业分包工程款支付凭证上载明的付款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8"/>
              </w:rPr>
              <w:t>单位与发包单位一致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9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9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1"/>
              <w:spacing w:before="235" w:line="184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31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110"/>
              <w:spacing w:before="48" w:line="233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29"/>
              </w:rPr>
              <w:t>专业分包工程款支付凭证载明的累计支</w:t>
            </w:r>
            <w:r>
              <w:rPr>
                <w:rFonts w:ascii="SimSun" w:hAnsi="SimSun" w:eastAsia="SimSun" w:cs="SimSun"/>
                <w:sz w:val="21"/>
                <w:szCs w:val="21"/>
                <w:spacing w:val="7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9"/>
              </w:rPr>
              <w:t>付金额与分包合同约定内容相匹配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0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79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ind w:left="200"/>
              <w:spacing w:before="310" w:line="321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  <w:position w:val="7"/>
              </w:rPr>
              <w:t>劳务</w:t>
            </w:r>
          </w:p>
          <w:p>
            <w:pPr>
              <w:ind w:left="200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分包</w:t>
            </w:r>
          </w:p>
        </w:tc>
        <w:tc>
          <w:tcPr>
            <w:tcW w:w="739" w:type="dxa"/>
            <w:vAlign w:val="top"/>
          </w:tcPr>
          <w:p>
            <w:pPr>
              <w:ind w:left="251"/>
              <w:spacing w:before="237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32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92"/>
              <w:spacing w:before="51" w:line="23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30"/>
              </w:rPr>
              <w:t>劳务分包工程款支付凭证上载明的付款</w:t>
            </w:r>
            <w:r>
              <w:rPr>
                <w:rFonts w:ascii="SimSun" w:hAnsi="SimSun" w:eastAsia="SimSun" w:cs="SimSun"/>
                <w:sz w:val="21"/>
                <w:szCs w:val="21"/>
                <w:spacing w:val="8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9"/>
              </w:rPr>
              <w:t>单位与发包单位一致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9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1"/>
              <w:spacing w:before="238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33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/>
              <w:spacing w:before="50" w:line="228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1"/>
              </w:rPr>
              <w:t>劳务分包单位不存在计取主要建筑材料款、周转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1"/>
              </w:rPr>
              <w:t>材料款或大中型施工机械设备费用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2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0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ind w:left="200"/>
              <w:spacing w:before="182" w:line="322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7"/>
              </w:rPr>
              <w:t>材料</w:t>
            </w:r>
          </w:p>
          <w:p>
            <w:pPr>
              <w:ind w:left="200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设备</w:t>
            </w:r>
          </w:p>
          <w:p>
            <w:pPr>
              <w:ind w:left="200"/>
              <w:spacing w:before="1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采购</w:t>
            </w:r>
          </w:p>
        </w:tc>
        <w:tc>
          <w:tcPr>
            <w:tcW w:w="739" w:type="dxa"/>
            <w:vAlign w:val="top"/>
          </w:tcPr>
          <w:p>
            <w:pPr>
              <w:ind w:left="251"/>
              <w:spacing w:before="239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34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133"/>
              <w:spacing w:before="43" w:line="23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4"/>
              </w:rPr>
              <w:t>材料、设备采购款项支付凭证上载明的付</w:t>
            </w:r>
            <w:r>
              <w:rPr>
                <w:rFonts w:ascii="SimSun" w:hAnsi="SimSun" w:eastAsia="SimSun" w:cs="SimSun"/>
                <w:sz w:val="21"/>
                <w:szCs w:val="21"/>
                <w:spacing w:val="15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0"/>
              </w:rPr>
              <w:t>款单位与发包单位一致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3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0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1"/>
              <w:spacing w:before="249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35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/>
              <w:spacing w:before="53" w:line="236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1"/>
              </w:rPr>
              <w:t>材料、设备采购款项支付凭证上载明的累计支付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9"/>
              </w:rPr>
              <w:t>金额与项目实际及合同约定内容相匹配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93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9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restart"/>
            <w:tcBorders>
              <w:bottom w:val="none" w:color="000000" w:sz="2" w:space="0"/>
            </w:tcBorders>
          </w:tcPr>
          <w:p>
            <w:pPr>
              <w:ind w:left="200"/>
              <w:spacing w:before="152" w:line="322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  <w:position w:val="7"/>
              </w:rPr>
              <w:t>材料</w:t>
            </w:r>
          </w:p>
          <w:p>
            <w:pPr>
              <w:ind w:left="200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设备</w:t>
            </w:r>
          </w:p>
          <w:p>
            <w:pPr>
              <w:ind w:left="200"/>
              <w:spacing w:before="46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8"/>
              </w:rPr>
              <w:t>租赁</w:t>
            </w:r>
          </w:p>
        </w:tc>
        <w:tc>
          <w:tcPr>
            <w:tcW w:w="739" w:type="dxa"/>
            <w:vAlign w:val="top"/>
          </w:tcPr>
          <w:p>
            <w:pPr>
              <w:ind w:left="251"/>
              <w:spacing w:before="239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36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93"/>
              <w:spacing w:before="41" w:line="23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7"/>
              </w:rPr>
              <w:t>材料、设备租赁款项支付凭证上载明的付</w:t>
            </w:r>
            <w:r>
              <w:rPr>
                <w:rFonts w:ascii="SimSun" w:hAnsi="SimSun" w:eastAsia="SimSun" w:cs="SimSun"/>
                <w:sz w:val="21"/>
                <w:szCs w:val="21"/>
                <w:spacing w:val="1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22"/>
              </w:rPr>
              <w:t>款单位与发包单位一致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3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符合□不符合口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80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  <w:bottom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  <w:vMerge w:val="continue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739" w:type="dxa"/>
            <w:vAlign w:val="top"/>
          </w:tcPr>
          <w:p>
            <w:pPr>
              <w:ind w:left="251"/>
              <w:spacing w:before="240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37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/>
              <w:spacing w:before="52" w:line="23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-11"/>
              </w:rPr>
              <w:t>材料、设备租赁款项支付凭证上载明的累计支付</w:t>
            </w:r>
            <w:r>
              <w:rPr>
                <w:rFonts w:ascii="SimSun" w:hAnsi="SimSun" w:eastAsia="SimSun" w:cs="SimSun"/>
                <w:sz w:val="21"/>
                <w:szCs w:val="21"/>
                <w:spacing w:val="2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9"/>
              </w:rPr>
              <w:t>金额与项目实际及合同约定内容相匹配</w:t>
            </w:r>
          </w:p>
        </w:tc>
        <w:tc>
          <w:tcPr>
            <w:tcW w:w="1748" w:type="dxa"/>
            <w:vAlign w:val="top"/>
          </w:tcPr>
          <w:p>
            <w:pPr>
              <w:ind w:left="127"/>
              <w:spacing w:before="18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90" w:hRule="atLeast"/>
        </w:trPr>
        <w:tc>
          <w:tcPr>
            <w:tcW w:w="604" w:type="dxa"/>
            <w:vAlign w:val="top"/>
            <w:vMerge w:val="continue"/>
            <w:textDirection w:val="tbRlV"/>
            <w:tcBorders>
              <w:top w:val="none" w:color="000000" w:sz="2" w:space="0"/>
            </w:tcBorders>
          </w:tcPr>
          <w:p>
            <w:pPr>
              <w:rPr>
                <w:rFonts w:ascii="Arial"/>
                <w:sz w:val="21"/>
              </w:rPr>
            </w:pPr>
            <w:r/>
          </w:p>
        </w:tc>
        <w:tc>
          <w:tcPr>
            <w:tcW w:w="859" w:type="dxa"/>
            <w:vAlign w:val="top"/>
            <w:gridSpan w:val="2"/>
          </w:tcPr>
          <w:p>
            <w:pPr>
              <w:ind w:left="200"/>
              <w:spacing w:before="194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0"/>
              </w:rPr>
              <w:t>自有</w:t>
            </w:r>
          </w:p>
        </w:tc>
        <w:tc>
          <w:tcPr>
            <w:tcW w:w="739" w:type="dxa"/>
            <w:vAlign w:val="top"/>
          </w:tcPr>
          <w:p>
            <w:pPr>
              <w:ind w:left="251"/>
              <w:spacing w:before="250" w:line="183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38</w:t>
            </w:r>
          </w:p>
        </w:tc>
        <w:tc>
          <w:tcPr>
            <w:tcW w:w="4295" w:type="dxa"/>
            <w:vAlign w:val="top"/>
            <w:gridSpan w:val="2"/>
          </w:tcPr>
          <w:p>
            <w:pPr>
              <w:ind w:left="102" w:right="90"/>
              <w:spacing w:before="62" w:line="232" w:lineRule="auto"/>
              <w:rPr>
                <w:rFonts w:ascii="SimSun" w:hAnsi="SimSun" w:eastAsia="SimSun" w:cs="SimSun"/>
                <w:sz w:val="21"/>
                <w:szCs w:val="21"/>
              </w:rPr>
            </w:pPr>
            <w:r>
              <w:rPr>
                <w:rFonts w:ascii="SimSun" w:hAnsi="SimSun" w:eastAsia="SimSun" w:cs="SimSun"/>
                <w:sz w:val="21"/>
                <w:szCs w:val="21"/>
                <w:spacing w:val="17"/>
              </w:rPr>
              <w:t>施工单位自有机械设备、周转材料的，具</w:t>
            </w:r>
            <w:r>
              <w:rPr>
                <w:rFonts w:ascii="SimSun" w:hAnsi="SimSun" w:eastAsia="SimSun" w:cs="SimSun"/>
                <w:sz w:val="21"/>
                <w:szCs w:val="21"/>
                <w:spacing w:val="5"/>
              </w:rPr>
              <w:t xml:space="preserve"> </w:t>
            </w:r>
            <w:r>
              <w:rPr>
                <w:rFonts w:ascii="SimSun" w:hAnsi="SimSun" w:eastAsia="SimSun" w:cs="SimSun"/>
                <w:sz w:val="21"/>
                <w:szCs w:val="21"/>
                <w:spacing w:val="19"/>
              </w:rPr>
              <w:t>有相应证明材料</w:t>
            </w:r>
          </w:p>
        </w:tc>
        <w:tc>
          <w:tcPr>
            <w:tcW w:w="1748" w:type="dxa"/>
            <w:vAlign w:val="top"/>
          </w:tcPr>
          <w:p>
            <w:pPr>
              <w:ind w:left="107"/>
              <w:spacing w:before="194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符合□不符合□</w:t>
            </w:r>
          </w:p>
        </w:tc>
        <w:tc>
          <w:tcPr>
            <w:tcW w:w="1204" w:type="dxa"/>
            <w:vAlign w:val="top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028" w:hRule="atLeast"/>
        </w:trPr>
        <w:tc>
          <w:tcPr>
            <w:tcW w:w="1463" w:type="dxa"/>
            <w:vAlign w:val="top"/>
            <w:gridSpan w:val="3"/>
          </w:tcPr>
          <w:p>
            <w:pPr>
              <w:ind w:left="74" w:right="257"/>
              <w:spacing w:before="76" w:line="234" w:lineRule="auto"/>
              <w:jc w:val="both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"/>
              </w:rPr>
              <w:t>是否存在规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4"/>
              </w:rPr>
              <w:t>避招标、围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标串标、借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资质、转包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和违法分包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等违法违规</w:t>
            </w:r>
            <w:r>
              <w:rPr>
                <w:rFonts w:ascii="SimSun" w:hAnsi="SimSun" w:eastAsia="SimSun" w:cs="SimSun"/>
                <w:sz w:val="22"/>
                <w:szCs w:val="22"/>
                <w:spacing w:val="3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5"/>
              </w:rPr>
              <w:t>行为</w:t>
            </w:r>
          </w:p>
        </w:tc>
        <w:tc>
          <w:tcPr>
            <w:tcW w:w="7986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569" w:hRule="atLeast"/>
        </w:trPr>
        <w:tc>
          <w:tcPr>
            <w:tcW w:w="1463" w:type="dxa"/>
            <w:vAlign w:val="top"/>
            <w:gridSpan w:val="3"/>
          </w:tcPr>
          <w:p>
            <w:pPr>
              <w:ind w:left="74"/>
              <w:spacing w:before="186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2"/>
              </w:rPr>
              <w:t>其他问题</w:t>
            </w:r>
          </w:p>
        </w:tc>
        <w:tc>
          <w:tcPr>
            <w:tcW w:w="7986" w:type="dxa"/>
            <w:vAlign w:val="top"/>
            <w:gridSpan w:val="5"/>
          </w:tcPr>
          <w:p>
            <w:pPr>
              <w:rPr>
                <w:rFonts w:ascii="Arial"/>
                <w:sz w:val="21"/>
              </w:rPr>
            </w:pPr>
            <w:r/>
          </w:p>
        </w:tc>
      </w:tr>
      <w:tr>
        <w:trPr>
          <w:trHeight w:val="2033" w:hRule="atLeast"/>
        </w:trPr>
        <w:tc>
          <w:tcPr>
            <w:tcW w:w="734" w:type="dxa"/>
            <w:vAlign w:val="top"/>
            <w:gridSpan w:val="2"/>
          </w:tcPr>
          <w:p>
            <w:pPr>
              <w:spacing w:line="345" w:lineRule="auto"/>
              <w:rPr>
                <w:rFonts w:ascii="Arial"/>
                <w:sz w:val="21"/>
              </w:rPr>
            </w:pPr>
            <w:r/>
          </w:p>
          <w:p>
            <w:pPr>
              <w:spacing w:line="345" w:lineRule="auto"/>
              <w:rPr>
                <w:rFonts w:ascii="Arial"/>
                <w:sz w:val="21"/>
              </w:rPr>
            </w:pPr>
            <w:r/>
          </w:p>
          <w:p>
            <w:pPr>
              <w:ind w:left="74"/>
              <w:spacing w:before="71" w:line="292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8"/>
                <w:position w:val="4"/>
              </w:rPr>
              <w:t>签章</w:t>
            </w:r>
          </w:p>
          <w:p>
            <w:pPr>
              <w:ind w:left="74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3"/>
              </w:rPr>
              <w:t>确认</w:t>
            </w:r>
          </w:p>
        </w:tc>
        <w:tc>
          <w:tcPr>
            <w:tcW w:w="729" w:type="dxa"/>
            <w:vAlign w:val="top"/>
          </w:tcPr>
          <w:p>
            <w:pPr>
              <w:spacing w:line="407" w:lineRule="auto"/>
              <w:rPr>
                <w:rFonts w:ascii="Arial"/>
                <w:sz w:val="21"/>
              </w:rPr>
            </w:pPr>
            <w:r/>
          </w:p>
          <w:p>
            <w:pPr>
              <w:ind w:left="80" w:right="137" w:firstLine="49"/>
              <w:spacing w:before="72" w:line="237" w:lineRule="auto"/>
              <w:jc w:val="both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4"/>
              </w:rPr>
              <w:t>施工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30"/>
              </w:rPr>
              <w:t>总承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  <w:spacing w:val="20"/>
              </w:rPr>
              <w:t>包单</w:t>
            </w:r>
            <w:r>
              <w:rPr>
                <w:rFonts w:ascii="SimSun" w:hAnsi="SimSun" w:eastAsia="SimSun" w:cs="SimSun"/>
                <w:sz w:val="22"/>
                <w:szCs w:val="22"/>
              </w:rPr>
              <w:t xml:space="preserve"> </w:t>
            </w:r>
            <w:r>
              <w:rPr>
                <w:rFonts w:ascii="SimSun" w:hAnsi="SimSun" w:eastAsia="SimSun" w:cs="SimSun"/>
                <w:sz w:val="22"/>
                <w:szCs w:val="22"/>
              </w:rPr>
              <w:t>位</w:t>
            </w:r>
          </w:p>
        </w:tc>
        <w:tc>
          <w:tcPr>
            <w:tcW w:w="3386" w:type="dxa"/>
            <w:vAlign w:val="top"/>
            <w:gridSpan w:val="2"/>
          </w:tcPr>
          <w:p>
            <w:pPr>
              <w:spacing w:line="411" w:lineRule="auto"/>
              <w:rPr>
                <w:rFonts w:ascii="Arial"/>
                <w:sz w:val="21"/>
              </w:rPr>
            </w:pPr>
            <w:r/>
          </w:p>
          <w:p>
            <w:pPr>
              <w:ind w:left="171"/>
              <w:spacing w:before="72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(公章)</w:t>
            </w:r>
          </w:p>
          <w:p>
            <w:pPr>
              <w:ind w:left="171"/>
              <w:spacing w:before="310" w:line="591" w:lineRule="exact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6"/>
                <w:position w:val="28"/>
              </w:rPr>
              <w:t>项目经理(签字)</w:t>
            </w:r>
          </w:p>
          <w:p>
            <w:pPr>
              <w:ind w:left="1491"/>
              <w:spacing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日期</w:t>
            </w:r>
          </w:p>
        </w:tc>
        <w:tc>
          <w:tcPr>
            <w:tcW w:w="1648" w:type="dxa"/>
            <w:vAlign w:val="top"/>
          </w:tcPr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0" w:lineRule="auto"/>
              <w:rPr>
                <w:rFonts w:ascii="Arial"/>
                <w:sz w:val="21"/>
              </w:rPr>
            </w:pPr>
            <w:r/>
          </w:p>
          <w:p>
            <w:pPr>
              <w:spacing w:line="281" w:lineRule="auto"/>
              <w:rPr>
                <w:rFonts w:ascii="Arial"/>
                <w:sz w:val="21"/>
              </w:rPr>
            </w:pPr>
            <w:r/>
          </w:p>
          <w:p>
            <w:pPr>
              <w:ind w:left="105"/>
              <w:spacing w:before="71" w:line="220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-2"/>
              </w:rPr>
              <w:t>监理单位</w:t>
            </w:r>
          </w:p>
        </w:tc>
        <w:tc>
          <w:tcPr>
            <w:tcW w:w="2952" w:type="dxa"/>
            <w:vAlign w:val="top"/>
            <w:gridSpan w:val="2"/>
          </w:tcPr>
          <w:p>
            <w:pPr>
              <w:spacing w:line="265" w:lineRule="auto"/>
              <w:rPr>
                <w:rFonts w:ascii="Arial"/>
                <w:sz w:val="21"/>
              </w:rPr>
            </w:pPr>
            <w:r/>
          </w:p>
          <w:p>
            <w:pPr>
              <w:spacing w:line="266" w:lineRule="auto"/>
              <w:rPr>
                <w:rFonts w:ascii="Arial"/>
                <w:sz w:val="21"/>
              </w:rPr>
            </w:pPr>
            <w:r/>
          </w:p>
          <w:p>
            <w:pPr>
              <w:ind w:left="177"/>
              <w:spacing w:before="7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(公章)</w:t>
            </w:r>
          </w:p>
          <w:p>
            <w:pPr>
              <w:spacing w:line="267" w:lineRule="auto"/>
              <w:rPr>
                <w:rFonts w:ascii="Arial"/>
                <w:sz w:val="21"/>
              </w:rPr>
            </w:pPr>
            <w:r/>
          </w:p>
          <w:p>
            <w:pPr>
              <w:ind w:left="177"/>
              <w:spacing w:before="71" w:line="219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8"/>
              </w:rPr>
              <w:t>总监(签字)</w:t>
            </w:r>
          </w:p>
          <w:p>
            <w:pPr>
              <w:spacing w:line="246" w:lineRule="auto"/>
              <w:rPr>
                <w:rFonts w:ascii="Arial"/>
                <w:sz w:val="21"/>
              </w:rPr>
            </w:pPr>
            <w:r/>
          </w:p>
          <w:p>
            <w:pPr>
              <w:ind w:left="1237"/>
              <w:spacing w:before="71" w:line="206" w:lineRule="auto"/>
              <w:rPr>
                <w:rFonts w:ascii="SimSun" w:hAnsi="SimSun" w:eastAsia="SimSun" w:cs="SimSun"/>
                <w:sz w:val="22"/>
                <w:szCs w:val="22"/>
              </w:rPr>
            </w:pPr>
            <w:r>
              <w:rPr>
                <w:rFonts w:ascii="SimSun" w:hAnsi="SimSun" w:eastAsia="SimSun" w:cs="SimSun"/>
                <w:sz w:val="22"/>
                <w:szCs w:val="22"/>
                <w:spacing w:val="12"/>
              </w:rPr>
              <w:t>日期</w:t>
            </w:r>
          </w:p>
        </w:tc>
      </w:tr>
    </w:tbl>
    <w:p>
      <w:pPr>
        <w:ind w:left="474"/>
        <w:spacing w:before="160" w:line="220" w:lineRule="auto"/>
        <w:rPr>
          <w:rFonts w:ascii="FangSong" w:hAnsi="FangSong" w:eastAsia="FangSong" w:cs="FangSong"/>
          <w:sz w:val="26"/>
          <w:szCs w:val="26"/>
        </w:rPr>
      </w:pPr>
      <w:r>
        <w:rPr>
          <w:rFonts w:ascii="FangSong" w:hAnsi="FangSong" w:eastAsia="FangSong" w:cs="FangSong"/>
          <w:sz w:val="26"/>
          <w:szCs w:val="26"/>
          <w:spacing w:val="21"/>
          <w:position w:val="1"/>
        </w:rPr>
        <w:t>行业检查单位(盖公章):</w:t>
      </w:r>
      <w:r>
        <w:rPr>
          <w:rFonts w:ascii="FangSong" w:hAnsi="FangSong" w:eastAsia="FangSong" w:cs="FangSong"/>
          <w:sz w:val="26"/>
          <w:szCs w:val="26"/>
          <w:spacing w:val="4"/>
          <w:position w:val="1"/>
        </w:rPr>
        <w:t xml:space="preserve">                </w:t>
      </w:r>
      <w:r>
        <w:rPr>
          <w:rFonts w:ascii="FangSong" w:hAnsi="FangSong" w:eastAsia="FangSong" w:cs="FangSong"/>
          <w:sz w:val="26"/>
          <w:szCs w:val="26"/>
          <w:spacing w:val="21"/>
          <w:position w:val="-2"/>
        </w:rPr>
        <w:t>检查人签字：</w:t>
      </w:r>
    </w:p>
    <w:p>
      <w:pPr>
        <w:ind w:left="5884"/>
        <w:spacing w:before="300" w:line="220" w:lineRule="auto"/>
        <w:rPr>
          <w:rFonts w:ascii="FangSong" w:hAnsi="FangSong" w:eastAsia="FangSong" w:cs="FangSong"/>
          <w:sz w:val="26"/>
          <w:szCs w:val="26"/>
        </w:rPr>
      </w:pPr>
      <w:r>
        <w:rPr>
          <w:rFonts w:ascii="FangSong" w:hAnsi="FangSong" w:eastAsia="FangSong" w:cs="FangSong"/>
          <w:sz w:val="26"/>
          <w:szCs w:val="26"/>
          <w:spacing w:val="-4"/>
        </w:rPr>
        <w:t>检查日期：</w:t>
      </w:r>
    </w:p>
    <w:p>
      <w:pPr>
        <w:ind w:left="474"/>
        <w:spacing w:before="180" w:line="221" w:lineRule="auto"/>
        <w:rPr>
          <w:rFonts w:ascii="FangSong" w:hAnsi="FangSong" w:eastAsia="FangSong" w:cs="FangSong"/>
          <w:sz w:val="26"/>
          <w:szCs w:val="26"/>
        </w:rPr>
      </w:pPr>
      <w:r>
        <w:rPr>
          <w:rFonts w:ascii="FangSong" w:hAnsi="FangSong" w:eastAsia="FangSong" w:cs="FangSong"/>
          <w:sz w:val="26"/>
          <w:szCs w:val="26"/>
          <w:spacing w:val="-28"/>
        </w:rPr>
        <w:t>注：1.一个项目一份表格，由住建、交通、水利等行政监督部门填写；</w:t>
      </w:r>
    </w:p>
    <w:p>
      <w:pPr>
        <w:ind w:left="944"/>
        <w:spacing w:before="77" w:line="219" w:lineRule="auto"/>
        <w:rPr>
          <w:rFonts w:ascii="FangSong" w:hAnsi="FangSong" w:eastAsia="FangSong" w:cs="FangSong"/>
          <w:sz w:val="26"/>
          <w:szCs w:val="26"/>
        </w:rPr>
      </w:pPr>
      <w:r>
        <w:rPr>
          <w:rFonts w:ascii="FangSong" w:hAnsi="FangSong" w:eastAsia="FangSong" w:cs="FangSong"/>
          <w:sz w:val="26"/>
          <w:szCs w:val="26"/>
          <w:spacing w:val="-35"/>
        </w:rPr>
        <w:t>2.此表格一式两份，</w:t>
      </w:r>
      <w:r>
        <w:rPr>
          <w:rFonts w:ascii="FangSong" w:hAnsi="FangSong" w:eastAsia="FangSong" w:cs="FangSong"/>
          <w:sz w:val="26"/>
          <w:szCs w:val="26"/>
          <w:spacing w:val="-23"/>
        </w:rPr>
        <w:t xml:space="preserve"> </w:t>
      </w:r>
      <w:r>
        <w:rPr>
          <w:rFonts w:ascii="FangSong" w:hAnsi="FangSong" w:eastAsia="FangSong" w:cs="FangSong"/>
          <w:sz w:val="26"/>
          <w:szCs w:val="26"/>
          <w:spacing w:val="-35"/>
        </w:rPr>
        <w:t>一份行政监督部门留存，</w:t>
      </w:r>
      <w:r>
        <w:rPr>
          <w:rFonts w:ascii="FangSong" w:hAnsi="FangSong" w:eastAsia="FangSong" w:cs="FangSong"/>
          <w:sz w:val="26"/>
          <w:szCs w:val="26"/>
          <w:spacing w:val="5"/>
        </w:rPr>
        <w:t xml:space="preserve"> </w:t>
      </w:r>
      <w:r>
        <w:rPr>
          <w:rFonts w:ascii="FangSong" w:hAnsi="FangSong" w:eastAsia="FangSong" w:cs="FangSong"/>
          <w:sz w:val="26"/>
          <w:szCs w:val="26"/>
          <w:spacing w:val="-35"/>
        </w:rPr>
        <w:t>一份交综合</w:t>
      </w:r>
      <w:r>
        <w:rPr>
          <w:rFonts w:ascii="FangSong" w:hAnsi="FangSong" w:eastAsia="FangSong" w:cs="FangSong"/>
          <w:sz w:val="26"/>
          <w:szCs w:val="26"/>
          <w:spacing w:val="-36"/>
        </w:rPr>
        <w:t>监督管理机构。</w:t>
      </w:r>
    </w:p>
    <w:p>
      <w:pPr>
        <w:sectPr>
          <w:footerReference w:type="default" r:id="rId13"/>
          <w:pgSz w:w="11560" w:h="16490"/>
          <w:pgMar w:top="1274" w:right="1084" w:bottom="1523" w:left="1015" w:header="0" w:footer="1264" w:gutter="0"/>
        </w:sectPr>
        <w:rPr/>
      </w:pPr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4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spacing w:line="245" w:lineRule="auto"/>
        <w:rPr>
          <w:rFonts w:ascii="Arial"/>
          <w:sz w:val="21"/>
        </w:rPr>
      </w:pPr>
      <w:r/>
    </w:p>
    <w:p>
      <w:pPr>
        <w:ind w:firstLine="69"/>
        <w:spacing w:line="20" w:lineRule="exact"/>
        <w:textAlignment w:val="center"/>
        <w:rPr/>
      </w:pPr>
      <w:r>
        <w:drawing>
          <wp:inline distT="0" distB="0" distL="0" distR="0">
            <wp:extent cx="5473695" cy="12725"/>
            <wp:effectExtent l="0" t="0" r="0" b="0"/>
            <wp:docPr id="3" name="IM 3"/>
            <wp:cNvGraphicFramePr/>
            <a:graphic>
              <a:graphicData uri="http://schemas.openxmlformats.org/drawingml/2006/picture">
                <pic:pic>
                  <pic:nvPicPr>
                    <pic:cNvPr id="3" name="IM 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473695" cy="1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59"/>
        <w:spacing w:before="228" w:line="229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-1"/>
        </w:rPr>
        <w:t>黄州区人民政府办公室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18"/>
          <w:position w:val="-1"/>
        </w:rPr>
        <w:t xml:space="preserve">      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2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48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0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49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2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1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1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8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年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1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1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0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1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0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月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49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2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52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6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22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日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20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印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35"/>
          <w:position w:val="1"/>
        </w:rPr>
        <w:t xml:space="preserve"> </w:t>
      </w:r>
      <w:r>
        <w:rPr>
          <w:rFonts w:ascii="FangSong" w:hAnsi="FangSong" w:eastAsia="FangSong" w:cs="FangSong"/>
          <w:sz w:val="31"/>
          <w:szCs w:val="31"/>
          <w:u w:val="single" w:color="auto"/>
          <w:spacing w:val="-19"/>
          <w:position w:val="1"/>
        </w:rPr>
        <w:t>发</w:t>
      </w:r>
      <w:r>
        <w:rPr>
          <w:rFonts w:ascii="FangSong" w:hAnsi="FangSong" w:eastAsia="FangSong" w:cs="FangSong"/>
          <w:sz w:val="31"/>
          <w:szCs w:val="31"/>
          <w:u w:val="single" w:color="auto"/>
          <w:position w:val="1"/>
        </w:rPr>
        <w:t xml:space="preserve">  </w:t>
      </w:r>
    </w:p>
    <w:p>
      <w:pPr>
        <w:ind w:left="79"/>
        <w:spacing w:before="93" w:line="184" w:lineRule="auto"/>
        <w:rPr>
          <w:rFonts w:ascii="SimSun" w:hAnsi="SimSun" w:eastAsia="SimSun" w:cs="SimSun"/>
          <w:sz w:val="23"/>
          <w:szCs w:val="23"/>
        </w:rPr>
      </w:pPr>
      <w:r>
        <w:rPr>
          <w:rFonts w:ascii="SimSun" w:hAnsi="SimSun" w:eastAsia="SimSun" w:cs="SimSun"/>
          <w:sz w:val="23"/>
          <w:szCs w:val="23"/>
          <w:spacing w:val="-9"/>
        </w:rPr>
        <w:t>—</w:t>
      </w:r>
      <w:r>
        <w:rPr>
          <w:rFonts w:ascii="SimSun" w:hAnsi="SimSun" w:eastAsia="SimSun" w:cs="SimSun"/>
          <w:sz w:val="23"/>
          <w:szCs w:val="23"/>
          <w:spacing w:val="-88"/>
        </w:rPr>
        <w:t xml:space="preserve"> </w:t>
      </w:r>
      <w:r>
        <w:rPr>
          <w:rFonts w:ascii="SimSun" w:hAnsi="SimSun" w:eastAsia="SimSun" w:cs="SimSun"/>
          <w:sz w:val="23"/>
          <w:szCs w:val="23"/>
          <w:spacing w:val="-9"/>
        </w:rPr>
        <w:t>12—</w:t>
      </w:r>
    </w:p>
    <w:sectPr>
      <w:footerReference w:type="default" r:id="rId14"/>
      <w:pgSz w:w="11870" w:h="16700"/>
      <w:pgMar w:top="1419" w:right="1399" w:bottom="400" w:left="178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59" w:lineRule="exact"/>
      <w:rPr>
        <w:rFonts w:ascii="Arial"/>
        <w:sz w:val="5"/>
      </w:rPr>
    </w:pPr>
    <w:r>
      <w:pict>
        <v:rect id="_x0000_s1" style="position:absolute;margin-left:60.5004pt;margin-top:783pt;mso-position-vertical-relative:page;mso-position-horizontal-relative:page;width:478.5pt;height:3pt;z-index:251658240;" o:allowincell="f" fillcolor="#FF0000" filled="true" stroked="false"/>
      </w:pict>
    </w:r>
    <w:r/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6"/>
      <w:spacing w:line="183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3"/>
      </w:rPr>
      <w:t>—2—</w: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jc w:val="right"/>
      <w:rPr>
        <w:rFonts w:ascii="SimSun" w:hAnsi="SimSun" w:eastAsia="SimSun" w:cs="SimSun"/>
        <w:sz w:val="31"/>
        <w:szCs w:val="31"/>
      </w:rPr>
    </w:pPr>
    <w:r>
      <w:rPr>
        <w:rFonts w:ascii="SimSun" w:hAnsi="SimSun" w:eastAsia="SimSun" w:cs="SimSun"/>
        <w:sz w:val="31"/>
        <w:szCs w:val="31"/>
        <w:spacing w:val="-19"/>
        <w:w w:val="84"/>
      </w:rPr>
      <w:t>—3—</w:t>
    </w:r>
  </w:p>
</w:ftr>
</file>

<file path=word/footer4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2" w:lineRule="auto"/>
      <w:rPr>
        <w:rFonts w:ascii="SimSun" w:hAnsi="SimSun" w:eastAsia="SimSun" w:cs="SimSun"/>
        <w:sz w:val="26"/>
        <w:szCs w:val="26"/>
      </w:rPr>
    </w:pPr>
    <w:r>
      <w:rPr>
        <w:rFonts w:ascii="SimSun" w:hAnsi="SimSun" w:eastAsia="SimSun" w:cs="SimSun"/>
        <w:sz w:val="26"/>
        <w:szCs w:val="26"/>
        <w:spacing w:val="-10"/>
      </w:rPr>
      <w:t>—4—</w:t>
    </w:r>
  </w:p>
</w:ftr>
</file>

<file path=word/footer5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before="1" w:line="181" w:lineRule="auto"/>
      <w:jc w:val="right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20"/>
      </w:rPr>
      <w:t>—5—</w:t>
    </w:r>
  </w:p>
</w:ftr>
</file>

<file path=word/footer6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83" w:lineRule="auto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15"/>
      </w:rPr>
      <w:t>—6—</w:t>
    </w:r>
  </w:p>
</w:ftr>
</file>

<file path=word/footer7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196"/>
      <w:spacing w:before="1" w:line="181" w:lineRule="auto"/>
      <w:jc w:val="right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15"/>
      </w:rPr>
      <w:t>—7—</w:t>
    </w:r>
  </w:p>
</w:ftr>
</file>

<file path=word/footer8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55"/>
      <w:spacing w:line="183" w:lineRule="auto"/>
      <w:rPr>
        <w:rFonts w:ascii="SimSun" w:hAnsi="SimSun" w:eastAsia="SimSun" w:cs="SimSun"/>
        <w:sz w:val="23"/>
        <w:szCs w:val="23"/>
      </w:rPr>
    </w:pPr>
    <w:r>
      <w:rPr>
        <w:rFonts w:ascii="SimSun" w:hAnsi="SimSun" w:eastAsia="SimSun" w:cs="SimSun"/>
        <w:sz w:val="23"/>
        <w:szCs w:val="23"/>
        <w:spacing w:val="-3"/>
      </w:rPr>
      <w:t>—8—</w:t>
    </w:r>
  </w:p>
</w:ftr>
</file>

<file path=word/footer9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58"/>
      <w:spacing w:line="183" w:lineRule="auto"/>
      <w:jc w:val="right"/>
      <w:rPr>
        <w:rFonts w:ascii="SimSun" w:hAnsi="SimSun" w:eastAsia="SimSun" w:cs="SimSun"/>
        <w:sz w:val="26"/>
        <w:szCs w:val="26"/>
      </w:rPr>
    </w:pPr>
    <w:r>
      <w:rPr>
        <w:rFonts w:ascii="SimSun" w:hAnsi="SimSun" w:eastAsia="SimSun" w:cs="SimSun"/>
        <w:sz w:val="26"/>
        <w:szCs w:val="26"/>
        <w:spacing w:val="-17"/>
        <w:w w:val="99"/>
      </w:rPr>
      <w:t>—9—</w:t>
    </w:r>
  </w:p>
</w:ftr>
</file>

<file path=word/footer10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55"/>
      <w:spacing w:before="1" w:line="183" w:lineRule="auto"/>
      <w:rPr>
        <w:rFonts w:ascii="SimSun" w:hAnsi="SimSun" w:eastAsia="SimSun" w:cs="SimSun"/>
        <w:sz w:val="27"/>
        <w:szCs w:val="27"/>
      </w:rPr>
    </w:pPr>
    <w:r>
      <w:rPr>
        <w:rFonts w:ascii="SimSun" w:hAnsi="SimSun" w:eastAsia="SimSun" w:cs="SimSun"/>
        <w:sz w:val="27"/>
        <w:szCs w:val="27"/>
        <w:spacing w:val="-22"/>
      </w:rPr>
      <w:t>—</w:t>
    </w:r>
    <w:r>
      <w:rPr>
        <w:rFonts w:ascii="SimSun" w:hAnsi="SimSun" w:eastAsia="SimSun" w:cs="SimSun"/>
        <w:sz w:val="27"/>
        <w:szCs w:val="27"/>
        <w:spacing w:val="-107"/>
      </w:rPr>
      <w:t xml:space="preserve"> </w:t>
    </w:r>
    <w:r>
      <w:rPr>
        <w:rFonts w:ascii="SimSun" w:hAnsi="SimSun" w:eastAsia="SimSun" w:cs="SimSun"/>
        <w:sz w:val="27"/>
        <w:szCs w:val="27"/>
        <w:spacing w:val="-22"/>
      </w:rPr>
      <w:t>10—</w:t>
    </w:r>
  </w:p>
</w:ftr>
</file>

<file path=word/footer1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right="456"/>
      <w:spacing w:before="1" w:line="183" w:lineRule="auto"/>
      <w:jc w:val="right"/>
      <w:rPr>
        <w:rFonts w:ascii="SimSun" w:hAnsi="SimSun" w:eastAsia="SimSun" w:cs="SimSun"/>
        <w:sz w:val="26"/>
        <w:szCs w:val="26"/>
      </w:rPr>
    </w:pPr>
    <w:r>
      <w:rPr>
        <w:rFonts w:ascii="SimSun" w:hAnsi="SimSun" w:eastAsia="SimSun" w:cs="SimSun"/>
        <w:sz w:val="26"/>
        <w:szCs w:val="26"/>
        <w:spacing w:val="-20"/>
      </w:rPr>
      <w:t>—</w:t>
    </w:r>
    <w:r>
      <w:rPr>
        <w:rFonts w:ascii="SimSun" w:hAnsi="SimSun" w:eastAsia="SimSun" w:cs="SimSun"/>
        <w:sz w:val="26"/>
        <w:szCs w:val="26"/>
        <w:spacing w:val="-103"/>
      </w:rPr>
      <w:t xml:space="preserve"> </w:t>
    </w:r>
    <w:r>
      <w:rPr>
        <w:rFonts w:ascii="SimSun" w:hAnsi="SimSun" w:eastAsia="SimSun" w:cs="SimSun"/>
        <w:sz w:val="26"/>
        <w:szCs w:val="26"/>
        <w:spacing w:val="-20"/>
      </w:rPr>
      <w:t>11—</w:t>
    </w:r>
  </w:p>
</w:ftr>
</file>

<file path=word/footer1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color w:val="000000"/>
        <w:kern w:val="0"/>
        <w:snapToGrid w:val="0"/>
      </w:rPr>
    </w:rPrDefault>
  </w:docDefaults>
  <w:style w:type="paragraph" w:styleId="1" w:default="1">
    <w:name w:val="Normal"/>
    <w:semiHidden/>
    <w:qFormat/>
    <w:pPr>
      <w:spacing w:line="240" w:lineRule="w: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2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7.xml"/><Relationship Id="rId8" Type="http://schemas.openxmlformats.org/officeDocument/2006/relationships/footer" Target="footer6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image" Target="media/image2.png"/><Relationship Id="rId2" Type="http://schemas.openxmlformats.org/officeDocument/2006/relationships/image" Target="media/image1.jpeg"/><Relationship Id="rId18" Type="http://schemas.openxmlformats.org/officeDocument/2006/relationships/fontTable" Target="fontTable.xml"/><Relationship Id="rId17" Type="http://schemas.openxmlformats.org/officeDocument/2006/relationships/styles" Target="styles.xml"/><Relationship Id="rId16" Type="http://schemas.openxmlformats.org/officeDocument/2006/relationships/settings" Target="settings.xml"/><Relationship Id="rId15" Type="http://schemas.openxmlformats.org/officeDocument/2006/relationships/image" Target="media/image3.jpeg"/><Relationship Id="rId14" Type="http://schemas.openxmlformats.org/officeDocument/2006/relationships/footer" Target="footer12.xml"/><Relationship Id="rId13" Type="http://schemas.openxmlformats.org/officeDocument/2006/relationships/footer" Target="footer11.xml"/><Relationship Id="rId12" Type="http://schemas.openxmlformats.org/officeDocument/2006/relationships/footer" Target="footer10.xml"/><Relationship Id="rId11" Type="http://schemas.openxmlformats.org/officeDocument/2006/relationships/footer" Target="footer9.xml"/><Relationship Id="rId10" Type="http://schemas.openxmlformats.org/officeDocument/2006/relationships/footer" Target="footer8.xml"/><Relationship Id="rId1" Type="http://schemas.openxmlformats.org/officeDocument/2006/relationships/footer" Target="foot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Kingsoft-PDF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dcterms:created xsi:type="dcterms:W3CDTF">2023-07-11T16:38:35Z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2023-07-11T16:38:36</vt:filetime>
  </property>
  <property fmtid="{D5CDD505-2E9C-101B-9397-08002B2CF9AE}" pid="4" name="UsrData">
    <vt:lpwstr>64ad150402013b001f1ecc17wl</vt:lpwstr>
  </property>
</Properties>
</file>