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r>
        <mc:AlternateContent>
          <mc:Choice Requires="wps">
            <w:drawing>
              <wp:anchor distT="0" distB="0" distL="114300" distR="114300" simplePos="0" relativeHeight="251658240" behindDoc="0" locked="0" layoutInCell="1" allowOverlap="1">
                <wp:simplePos x="0" y="0"/>
                <wp:positionH relativeFrom="column">
                  <wp:posOffset>-45720</wp:posOffset>
                </wp:positionH>
                <wp:positionV relativeFrom="paragraph">
                  <wp:posOffset>30480</wp:posOffset>
                </wp:positionV>
                <wp:extent cx="5795645" cy="1352550"/>
                <wp:effectExtent l="0" t="0" r="14605" b="0"/>
                <wp:wrapNone/>
                <wp:docPr id="5" name="文本框 5"/>
                <wp:cNvGraphicFramePr/>
                <a:graphic xmlns:a="http://schemas.openxmlformats.org/drawingml/2006/main">
                  <a:graphicData uri="http://schemas.microsoft.com/office/word/2010/wordprocessingShape">
                    <wps:wsp>
                      <wps:cNvSpPr txBox="1"/>
                      <wps:spPr>
                        <a:xfrm>
                          <a:off x="1002030" y="1360170"/>
                          <a:ext cx="5795645" cy="1352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rFonts w:ascii="方正小标宋简体" w:hAnsi="方正小标宋简体" w:eastAsia="方正小标宋简体" w:cs="方正小标宋简体"/>
                                <w:color w:val="FF0000"/>
                                <w:spacing w:val="-34"/>
                                <w:w w:val="48"/>
                                <w:kern w:val="72"/>
                                <w:position w:val="6"/>
                                <w:sz w:val="150"/>
                                <w:szCs w:val="150"/>
                              </w:rPr>
                            </w:pPr>
                            <w:r>
                              <w:rPr>
                                <w:rFonts w:hint="eastAsia" w:ascii="方正小标宋简体" w:hAnsi="方正小标宋简体" w:eastAsia="方正小标宋简体" w:cs="方正小标宋简体"/>
                                <w:color w:val="FF0000"/>
                                <w:spacing w:val="-34"/>
                                <w:w w:val="48"/>
                                <w:kern w:val="72"/>
                                <w:position w:val="6"/>
                                <w:sz w:val="150"/>
                                <w:szCs w:val="150"/>
                              </w:rPr>
                              <w:t>宣恩县公共资源交易管理委员会</w:t>
                            </w:r>
                          </w:p>
                          <w:p>
                            <w:pPr>
                              <w:pStyle w:val="2"/>
                              <w:ind w:left="632" w:firstLine="632"/>
                              <w:rPr>
                                <w:rFonts w:hint="default"/>
                              </w:rPr>
                            </w:pPr>
                          </w:p>
                          <w:p>
                            <w:pPr>
                              <w:pStyle w:val="2"/>
                              <w:ind w:left="632" w:firstLine="632"/>
                              <w:rPr>
                                <w:rFonts w:hint="default"/>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3.6pt;margin-top:2.4pt;height:106.5pt;width:456.35pt;z-index:251658240;mso-width-relative:page;mso-height-relative:page;" fillcolor="#FFFFFF [3201]" filled="t" stroked="f" coordsize="21600,21600" o:gfxdata="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BCxKhPWAAAACAEAAA8AAAAAAAAAAQAgAAAAIgAAAGRycy9kb3ducmV2Lnht&#10;bFBLAQIUABQAAAAIAIdO4kDvCEIfNAIAAD4EAAAOAAAAAAAAAAEAIAAAACUBAABkcnMvZTJvRG9j&#10;LnhtbFBLBQYAAAAABgAGAFkBAADLBQAAAAA=&#10;">
                <v:fill on="t" focussize="0,0"/>
                <v:stroke on="f" weight="0.5pt"/>
                <v:imagedata o:title=""/>
                <o:lock v:ext="edit" aspectratio="f"/>
                <v:textbox inset="0mm,0mm,0mm,0mm">
                  <w:txbxContent>
                    <w:p>
                      <w:pPr>
                        <w:rPr>
                          <w:rFonts w:ascii="方正小标宋简体" w:hAnsi="方正小标宋简体" w:eastAsia="方正小标宋简体" w:cs="方正小标宋简体"/>
                          <w:color w:val="FF0000"/>
                          <w:spacing w:val="-34"/>
                          <w:w w:val="48"/>
                          <w:kern w:val="72"/>
                          <w:position w:val="6"/>
                          <w:sz w:val="150"/>
                          <w:szCs w:val="150"/>
                        </w:rPr>
                      </w:pPr>
                      <w:r>
                        <w:rPr>
                          <w:rFonts w:hint="eastAsia" w:ascii="方正小标宋简体" w:hAnsi="方正小标宋简体" w:eastAsia="方正小标宋简体" w:cs="方正小标宋简体"/>
                          <w:color w:val="FF0000"/>
                          <w:spacing w:val="-34"/>
                          <w:w w:val="48"/>
                          <w:kern w:val="72"/>
                          <w:position w:val="6"/>
                          <w:sz w:val="150"/>
                          <w:szCs w:val="150"/>
                        </w:rPr>
                        <w:t>宣恩县公共资源交易管理委员会</w:t>
                      </w:r>
                    </w:p>
                    <w:p>
                      <w:pPr>
                        <w:pStyle w:val="2"/>
                        <w:ind w:left="632" w:firstLine="632"/>
                        <w:rPr>
                          <w:rFonts w:hint="default"/>
                        </w:rPr>
                      </w:pPr>
                    </w:p>
                    <w:p>
                      <w:pPr>
                        <w:pStyle w:val="2"/>
                        <w:ind w:left="632" w:firstLine="632"/>
                        <w:rPr>
                          <w:rFonts w:hint="default"/>
                        </w:rPr>
                      </w:pPr>
                    </w:p>
                  </w:txbxContent>
                </v:textbox>
              </v:shape>
            </w:pict>
          </mc:Fallback>
        </mc:AlternateContent>
      </w:r>
    </w:p>
    <w:p/>
    <w:p/>
    <w:p/>
    <w:p>
      <w:pPr>
        <w:pStyle w:val="2"/>
        <w:ind w:left="632" w:firstLine="2368" w:firstLineChars="800"/>
        <w:rPr>
          <w:rFonts w:hint="default"/>
        </w:rPr>
      </w:pPr>
      <w:r>
        <w:rPr>
          <w:rFonts w:ascii="仿宋_GB2312" w:hAnsi="仿宋_GB2312" w:eastAsia="仿宋_GB2312" w:cs="仿宋_GB2312"/>
          <w:sz w:val="30"/>
          <w:szCs w:val="30"/>
        </w:rPr>
        <w:t>宣公管委〔2020〕5号</w:t>
      </w:r>
    </w:p>
    <w:p>
      <w:pPr>
        <w:spacing w:line="640" w:lineRule="exact"/>
        <w:ind w:left="632" w:leftChars="200"/>
        <w:jc w:val="center"/>
        <w:rPr>
          <w:rFonts w:ascii="方正小标宋简体" w:hAnsi="方正小标宋简体" w:eastAsia="方正小标宋简体" w:cs="方正小标宋简体"/>
          <w:sz w:val="44"/>
          <w:szCs w:val="44"/>
        </w:rPr>
      </w:pPr>
      <w:r>
        <mc:AlternateContent>
          <mc:Choice Requires="wps">
            <w:drawing>
              <wp:anchor distT="0" distB="0" distL="114300" distR="114300" simplePos="0" relativeHeight="251659264" behindDoc="0" locked="0" layoutInCell="1" allowOverlap="1">
                <wp:simplePos x="0" y="0"/>
                <wp:positionH relativeFrom="column">
                  <wp:posOffset>13970</wp:posOffset>
                </wp:positionH>
                <wp:positionV relativeFrom="paragraph">
                  <wp:posOffset>12700</wp:posOffset>
                </wp:positionV>
                <wp:extent cx="5524500" cy="0"/>
                <wp:effectExtent l="0" t="0" r="0" b="0"/>
                <wp:wrapNone/>
                <wp:docPr id="7" name="直接连接符 7"/>
                <wp:cNvGraphicFramePr/>
                <a:graphic xmlns:a="http://schemas.openxmlformats.org/drawingml/2006/main">
                  <a:graphicData uri="http://schemas.microsoft.com/office/word/2010/wordprocessingShape">
                    <wps:wsp>
                      <wps:cNvCnPr/>
                      <wps:spPr>
                        <a:xfrm>
                          <a:off x="1021715" y="3092450"/>
                          <a:ext cx="5524500" cy="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line id="_x0000_s1026" o:spid="_x0000_s1026" o:spt="20" style="position:absolute;left:0pt;margin-left:1.1pt;margin-top:1pt;height:0pt;width:435pt;z-index:251659264;mso-width-relative:page;mso-height-relative:page;" filled="f" stroked="t" coordsize="21600,21600" o:gfxdata="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GfHU2vQAAAABQEAAA8AAAAAAAAAAQAgAAAAIgAA&#10;AGRycy9kb3ducmV2LnhtbFBLAQIUABQAAAAIAIdO4kCO3Buu1wEAAHADAAAOAAAAAAAAAAEAIAAA&#10;AB8BAABkcnMvZTJvRG9jLnhtbFBLBQYAAAAABgAGAFkBAABoBQAAAAA=&#10;">
                <v:fill on="f" focussize="0,0"/>
                <v:stroke weight="1.5pt" color="#FF0000 [3205]" miterlimit="8" joinstyle="miter"/>
                <v:imagedata o:title=""/>
                <o:lock v:ext="edit" aspectratio="f"/>
              </v:line>
            </w:pict>
          </mc:Fallback>
        </mc:AlternateContent>
      </w:r>
    </w:p>
    <w:p>
      <w:pPr>
        <w:spacing w:line="570" w:lineRule="exact"/>
        <w:jc w:val="center"/>
        <w:rPr>
          <w:rFonts w:ascii="方正小标宋简体" w:hAnsi="方正小标宋简体" w:eastAsia="方正小标宋简体" w:cs="方正小标宋简体"/>
          <w:color w:val="000000" w:themeColor="text1"/>
          <w:sz w:val="40"/>
          <w:szCs w:val="40"/>
          <w14:textFill>
            <w14:solidFill>
              <w14:schemeClr w14:val="tx1"/>
            </w14:solidFill>
          </w14:textFill>
        </w:rPr>
      </w:pPr>
      <w:r>
        <w:rPr>
          <w:rFonts w:hint="eastAsia" w:ascii="方正小标宋简体" w:hAnsi="方正小标宋简体" w:eastAsia="方正小标宋简体" w:cs="方正小标宋简体"/>
          <w:color w:val="000000" w:themeColor="text1"/>
          <w:sz w:val="40"/>
          <w:szCs w:val="40"/>
          <w14:textFill>
            <w14:solidFill>
              <w14:schemeClr w14:val="tx1"/>
            </w14:solidFill>
          </w14:textFill>
        </w:rPr>
        <w:t>宣恩县公共资源交易联动监督管理实施方案</w:t>
      </w:r>
    </w:p>
    <w:p>
      <w:pPr>
        <w:spacing w:line="560" w:lineRule="exact"/>
        <w:ind w:firstLine="632" w:firstLineChars="200"/>
        <w:rPr>
          <w:color w:val="000000" w:themeColor="text1"/>
          <w14:textFill>
            <w14:solidFill>
              <w14:schemeClr w14:val="tx1"/>
            </w14:solidFill>
          </w14:textFill>
        </w:rPr>
      </w:pP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仿宋" w:hAnsi="仿宋" w:cs="仿宋"/>
          <w:color w:val="000000" w:themeColor="text1"/>
          <w:szCs w:val="32"/>
          <w14:textFill>
            <w14:solidFill>
              <w14:schemeClr w14:val="tx1"/>
            </w14:solidFill>
          </w14:textFill>
        </w:rPr>
        <w:t xml:space="preserve">为贯彻落实《湖北省公共资源交易联动监督管理办法》，统筹协调相关行政监督管理部门，合力推进公共资源交易平台建设、制度完善、信息共享、监督管理、投诉举报受理及案件查处、联合惩戒等各项工作，经县人民政府同意，制定宣恩县公共资源交易联动监督管理实施方案。 </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一、联动管理参与机构及责任划分</w:t>
      </w:r>
      <w:r>
        <w:rPr>
          <w:rFonts w:hint="eastAsia" w:ascii="仿宋" w:hAnsi="仿宋" w:cs="仿宋"/>
          <w:color w:val="000000" w:themeColor="text1"/>
          <w:szCs w:val="32"/>
          <w14:textFill>
            <w14:solidFill>
              <w14:schemeClr w14:val="tx1"/>
            </w14:solidFill>
          </w14:textFill>
        </w:rPr>
        <w:t>。县公共资源交易管理委员会各成员单位为宣恩县公共资源交易联动监督管理方案的执行主体。公共资源交易管理委员会负责建立本行政区域内联动监督管理工作机制，组织、协调、监督、检查本行政区域内公共资源交易联动监督管理工作。</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仿宋" w:hAnsi="仿宋" w:cs="仿宋"/>
          <w:color w:val="000000" w:themeColor="text1"/>
          <w:szCs w:val="32"/>
          <w14:textFill>
            <w14:solidFill>
              <w14:schemeClr w14:val="tx1"/>
            </w14:solidFill>
          </w14:textFill>
        </w:rPr>
        <w:t>县政务服务和大数据管理局（以下简称政务局），作为管理委员会日常办事机构具体负责联动监督管理的落实和统筹协调工作。</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仿宋" w:hAnsi="仿宋" w:cs="仿宋"/>
          <w:color w:val="000000" w:themeColor="text1"/>
          <w:szCs w:val="32"/>
          <w14:textFill>
            <w14:solidFill>
              <w14:schemeClr w14:val="tx1"/>
            </w14:solidFill>
          </w14:textFill>
        </w:rPr>
        <w:t>县司法局、发改局、财政局、住建局、交通运输局、水利局、自然资源和规划局、市场监管局、农业农村局、科经局、卫健局、审计局等行政监督管理部门，依法在各自职责范围内对公共资源交易活动实施监督管理。</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仿宋" w:hAnsi="仿宋" w:cs="仿宋"/>
          <w:color w:val="000000" w:themeColor="text1"/>
          <w:szCs w:val="32"/>
          <w14:textFill>
            <w14:solidFill>
              <w14:schemeClr w14:val="tx1"/>
            </w14:solidFill>
          </w14:textFill>
        </w:rPr>
        <w:t>综合监管部门和各有关行政监督管理部门，根据法律法规和管委会明确的职责分工，各司其职、各负其责、相互协调、密切配合、资源共享、齐抓共管。</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黑体" w:hAnsi="黑体" w:eastAsia="黑体" w:cs="黑体"/>
          <w:color w:val="000000" w:themeColor="text1"/>
          <w:szCs w:val="32"/>
          <w14:textFill>
            <w14:solidFill>
              <w14:schemeClr w14:val="tx1"/>
            </w14:solidFill>
          </w14:textFill>
        </w:rPr>
        <w:t>二、联动监督管理的主要方式</w:t>
      </w:r>
      <w:r>
        <w:rPr>
          <w:rFonts w:hint="eastAsia" w:ascii="仿宋" w:hAnsi="仿宋" w:cs="仿宋"/>
          <w:color w:val="000000" w:themeColor="text1"/>
          <w:szCs w:val="32"/>
          <w14:textFill>
            <w14:solidFill>
              <w14:schemeClr w14:val="tx1"/>
            </w14:solidFill>
          </w14:textFill>
        </w:rPr>
        <w:t>。公共资源交易联动监督管理主要通过联席会议、联通信息、联办案件、联动执法、联合检查和联合奖惩等机制来运行。</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楷体" w:hAnsi="楷体" w:eastAsia="楷体" w:cs="楷体"/>
          <w:b/>
          <w:bCs/>
          <w:color w:val="000000" w:themeColor="text1"/>
          <w:szCs w:val="32"/>
          <w14:textFill>
            <w14:solidFill>
              <w14:schemeClr w14:val="tx1"/>
            </w14:solidFill>
          </w14:textFill>
        </w:rPr>
        <w:t>（一）联席会议。</w:t>
      </w:r>
      <w:r>
        <w:rPr>
          <w:rFonts w:hint="eastAsia" w:ascii="仿宋" w:hAnsi="仿宋" w:cs="仿宋"/>
          <w:color w:val="000000" w:themeColor="text1"/>
          <w:szCs w:val="32"/>
          <w14:textFill>
            <w14:solidFill>
              <w14:schemeClr w14:val="tx1"/>
            </w14:solidFill>
          </w14:textFill>
        </w:rPr>
        <w:t>联席会议由县政府办负责组织召集，县政务局、财政局、发改局、交通运输局、住建局、水利</w:t>
      </w:r>
      <w:r>
        <w:rPr>
          <w:rFonts w:hint="eastAsia" w:ascii="仿宋" w:hAnsi="仿宋" w:cs="仿宋"/>
          <w:color w:val="000000" w:themeColor="text1"/>
          <w:szCs w:val="32"/>
          <w:lang w:eastAsia="zh-CN"/>
          <w14:textFill>
            <w14:solidFill>
              <w14:schemeClr w14:val="tx1"/>
            </w14:solidFill>
          </w14:textFill>
        </w:rPr>
        <w:t>局</w:t>
      </w:r>
      <w:r>
        <w:rPr>
          <w:rFonts w:hint="eastAsia" w:ascii="仿宋" w:hAnsi="仿宋" w:cs="仿宋"/>
          <w:color w:val="000000" w:themeColor="text1"/>
          <w:szCs w:val="32"/>
          <w14:textFill>
            <w14:solidFill>
              <w14:schemeClr w14:val="tx1"/>
            </w14:solidFill>
          </w14:textFill>
        </w:rPr>
        <w:t>、自然资源和规划局、司法局、市场监管局、科经局、卫健局、农业农村局、审计局、教育局、林业局、公共资源交易中心等部门为成员单位。联席会议办公室设在县政务局，办公室主任由县政府办分管公共资源交易工作的副主任担任，县政务局负责人任副主任，负责联席会议日常工作，联席会议设联络员，由各成员单位分管领导担任。</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仿宋" w:hAnsi="仿宋" w:cs="仿宋"/>
          <w:color w:val="000000" w:themeColor="text1"/>
          <w:szCs w:val="32"/>
          <w14:textFill>
            <w14:solidFill>
              <w14:schemeClr w14:val="tx1"/>
            </w14:solidFill>
          </w14:textFill>
        </w:rPr>
        <w:t>联席会议主要职责：在县委、县政府领导下，主动加强公共资源交易监管工作的研究，推动行政监管部门间联系沟通、相互配合、相互支持、形成合力。贯彻落实党中央国务院和省、州、县各级关于加强公共资源交易管理的决策部署，及时有效的解决公共资源交易监管过程中各种矛盾和问题。</w:t>
      </w:r>
      <w:r>
        <w:rPr>
          <w:rFonts w:hint="eastAsia" w:ascii="仿宋" w:hAnsi="仿宋" w:cs="仿宋"/>
          <w:color w:val="000000" w:themeColor="text1"/>
          <w:szCs w:val="32"/>
          <w14:textFill>
            <w14:solidFill>
              <w14:schemeClr w14:val="tx1"/>
            </w14:solidFill>
          </w14:textFill>
        </w:rPr>
        <w:br w:type="textWrapping"/>
      </w:r>
      <w:r>
        <w:rPr>
          <w:rFonts w:hint="eastAsia" w:ascii="仿宋" w:hAnsi="仿宋" w:cs="仿宋"/>
          <w:color w:val="000000" w:themeColor="text1"/>
          <w:szCs w:val="32"/>
          <w14:textFill>
            <w14:solidFill>
              <w14:schemeClr w14:val="tx1"/>
            </w14:solidFill>
          </w14:textFill>
        </w:rPr>
        <w:t>    联席会议原则上每半年召开一次全体成员工作会议，如有需要，可临时增开，并可根据会议议题邀请其他部门（单位）参加会议。联席会议召开前，各监管单位将需要列入联席会议的事项，经部门主要领导签字后，送联席会议办公室，联席会议办公室对各部门提交和讨论事项进行汇总后列入联席会议议题交召集人审定是否列入会议议程。  </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仿宋" w:hAnsi="仿宋" w:cs="仿宋"/>
          <w:color w:val="000000" w:themeColor="text1"/>
          <w:szCs w:val="32"/>
          <w14:textFill>
            <w14:solidFill>
              <w14:schemeClr w14:val="tx1"/>
            </w14:solidFill>
          </w14:textFill>
        </w:rPr>
        <w:t xml:space="preserve">各成员单位要按照职责分工，认真落实联席会议议定事项，及时处理需要跨部门协调解决的问题，加强沟通、紧密配合，充分发挥联席会议作用。联席会议办公室负责督促检查会议决定事项的贯彻落实情况，并及时通报到各成员单位。 </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楷体" w:hAnsi="楷体" w:eastAsia="楷体" w:cs="楷体"/>
          <w:b/>
          <w:bCs/>
          <w:color w:val="000000" w:themeColor="text1"/>
          <w:szCs w:val="32"/>
          <w14:textFill>
            <w14:solidFill>
              <w14:schemeClr w14:val="tx1"/>
            </w14:solidFill>
          </w14:textFill>
        </w:rPr>
        <w:t>（二）联通信息。</w:t>
      </w:r>
      <w:r>
        <w:rPr>
          <w:rFonts w:hint="eastAsia" w:ascii="仿宋" w:hAnsi="仿宋" w:cs="仿宋"/>
          <w:color w:val="000000" w:themeColor="text1"/>
          <w:szCs w:val="32"/>
          <w14:textFill>
            <w14:solidFill>
              <w14:schemeClr w14:val="tx1"/>
            </w14:solidFill>
          </w14:textFill>
        </w:rPr>
        <w:t>在公共资源交易管委会成员单位之间建立公共资源交易信息互联互通和共享机制。发挥省公共资源交易电子服务系统数据共享总枢纽作用，将公共资源交易平台电子服务系统与交易、监管系统数据对接，并为政务信息、市场信息跨地域、跨行业、跨部门、跨层级共享提供支撑。提高信息利用率，减少市场主体重复申报信息，方便信息深度挖掘和关联应用，有效提高公共资源交易监督管理质量和效能。</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楷体" w:hAnsi="楷体" w:eastAsia="楷体" w:cs="楷体"/>
          <w:color w:val="000000" w:themeColor="text1"/>
          <w:szCs w:val="32"/>
          <w14:textFill>
            <w14:solidFill>
              <w14:schemeClr w14:val="tx1"/>
            </w14:solidFill>
          </w14:textFill>
        </w:rPr>
        <w:t>1、交易信息。</w:t>
      </w:r>
      <w:r>
        <w:rPr>
          <w:rFonts w:hint="eastAsia" w:ascii="仿宋" w:hAnsi="仿宋" w:cs="仿宋"/>
          <w:color w:val="000000" w:themeColor="text1"/>
          <w:szCs w:val="32"/>
          <w14:textFill>
            <w14:solidFill>
              <w14:schemeClr w14:val="tx1"/>
            </w14:solidFill>
          </w14:textFill>
        </w:rPr>
        <w:t>全县各类依法应当公开的公共资源交易信息除按照法律规定在相关媒体发布外，还应当按照监督要求在指定媒体同时发布，方可在“湖北省公共资源交易平台电子服务系统”上查询。县公共资源交易中心于开标结束后次日，将前日开标项目工作日志通过微信或QQ等途径传送至县政务局，《招投标项目一览表》于每季度最后一月30日前将盖公章的纸质版和电子版传送至县政务局,因各级要求临时需要相关信息的，县交易中心应据实提供。县政务局定期分类发送至各行政监督部门，实现交易信息实时交互共享。</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楷体" w:hAnsi="楷体" w:eastAsia="楷体" w:cs="楷体"/>
          <w:color w:val="000000" w:themeColor="text1"/>
          <w:szCs w:val="32"/>
          <w14:textFill>
            <w14:solidFill>
              <w14:schemeClr w14:val="tx1"/>
            </w14:solidFill>
          </w14:textFill>
        </w:rPr>
        <w:t>2、评标专家信息。</w:t>
      </w:r>
      <w:r>
        <w:rPr>
          <w:rFonts w:hint="eastAsia" w:ascii="仿宋" w:hAnsi="仿宋" w:cs="仿宋"/>
          <w:color w:val="000000" w:themeColor="text1"/>
          <w:szCs w:val="32"/>
          <w14:textFill>
            <w14:solidFill>
              <w14:schemeClr w14:val="tx1"/>
            </w14:solidFill>
          </w14:textFill>
        </w:rPr>
        <w:t>县政务局负责建立、管理、维护湖北省评标专家库宣恩县区域库</w:t>
      </w:r>
      <w:bookmarkStart w:id="0" w:name="_GoBack"/>
      <w:bookmarkEnd w:id="0"/>
      <w:r>
        <w:rPr>
          <w:rFonts w:hint="eastAsia" w:ascii="仿宋" w:hAnsi="仿宋" w:cs="仿宋"/>
          <w:color w:val="000000" w:themeColor="text1"/>
          <w:szCs w:val="32"/>
          <w14:textFill>
            <w14:solidFill>
              <w14:schemeClr w14:val="tx1"/>
            </w14:solidFill>
          </w14:textFill>
        </w:rPr>
        <w:t>，县公共资源交易中心按照评标专家抽取管理办法为当日评标项目抽取评标专家，负责现场管理，并做好保密工作，评标当天的专家考核情况表于开标结束后次日复印传送至县政务局作为年终考评依据。行政监督部门在投诉处理、执法检查等监管工作中需要调取评标专家信息的，以书面函件形式向县政务局申请查阅，县政务局予以支持配合。</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楷体" w:hAnsi="楷体" w:eastAsia="楷体" w:cs="楷体"/>
          <w:color w:val="000000" w:themeColor="text1"/>
          <w:szCs w:val="32"/>
          <w14:textFill>
            <w14:solidFill>
              <w14:schemeClr w14:val="tx1"/>
            </w14:solidFill>
          </w14:textFill>
        </w:rPr>
        <w:t>3、中介服务机构信息。</w:t>
      </w:r>
      <w:r>
        <w:rPr>
          <w:rFonts w:hint="eastAsia" w:ascii="仿宋" w:hAnsi="仿宋" w:cs="仿宋"/>
          <w:szCs w:val="32"/>
        </w:rPr>
        <w:t>县</w:t>
      </w:r>
      <w:r>
        <w:rPr>
          <w:rFonts w:hint="eastAsia" w:ascii="仿宋" w:hAnsi="仿宋" w:cs="仿宋"/>
          <w:color w:val="000000" w:themeColor="text1"/>
          <w:szCs w:val="32"/>
          <w14:textFill>
            <w14:solidFill>
              <w14:schemeClr w14:val="tx1"/>
            </w14:solidFill>
          </w14:textFill>
        </w:rPr>
        <w:t>公共资源交易中心及时将招标代理机构一般失信行为以函件形式送至县政务局，县政务局定期将我县开展公共资源交易代理业务的中介服务机构基本信息通报至其他行政监督部门。</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楷体" w:hAnsi="楷体" w:eastAsia="楷体" w:cs="楷体"/>
          <w:color w:val="000000" w:themeColor="text1"/>
          <w:szCs w:val="32"/>
          <w14:textFill>
            <w14:solidFill>
              <w14:schemeClr w14:val="tx1"/>
            </w14:solidFill>
          </w14:textFill>
        </w:rPr>
        <w:t>4、投诉处理及执法信息。</w:t>
      </w:r>
      <w:r>
        <w:rPr>
          <w:rFonts w:hint="eastAsia" w:ascii="仿宋" w:hAnsi="仿宋" w:cs="仿宋"/>
          <w:color w:val="000000" w:themeColor="text1"/>
          <w:szCs w:val="32"/>
          <w14:textFill>
            <w14:solidFill>
              <w14:schemeClr w14:val="tx1"/>
            </w14:solidFill>
          </w14:textFill>
        </w:rPr>
        <w:t>各监督部门受理并处理的公共资源交易类投诉及执法事项，在处理完毕后一周内将处理情况报告及相关资料报县政务局备查，县政务局依法依规视情况通报至其他监督部门。</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楷体" w:hAnsi="楷体" w:eastAsia="楷体" w:cs="楷体"/>
          <w:color w:val="000000" w:themeColor="text1"/>
          <w:szCs w:val="32"/>
          <w14:textFill>
            <w14:solidFill>
              <w14:schemeClr w14:val="tx1"/>
            </w14:solidFill>
          </w14:textFill>
        </w:rPr>
        <w:t>5、信用信息。</w:t>
      </w:r>
      <w:r>
        <w:rPr>
          <w:rFonts w:hint="eastAsia" w:ascii="仿宋" w:hAnsi="仿宋" w:cs="仿宋"/>
          <w:color w:val="000000" w:themeColor="text1"/>
          <w:szCs w:val="32"/>
          <w14:textFill>
            <w14:solidFill>
              <w14:schemeClr w14:val="tx1"/>
            </w14:solidFill>
          </w14:textFill>
        </w:rPr>
        <w:t>县政务局按照《湖北省公共资源违法违规行为记录量化管理办法》的要求，组织招标人、代理机构、投标人、评标专家完成“湖北省公共资源交易信用信息平台”内基础信息的录入。行政监督部门将本系统公共资源交易市场主体信用信息整合上传到行业信用平台后及时推送至“信用湖北”。并将失信行为处理情况报县政务局备查，县政务局定期以简报的形式印发到各成员单位。</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楷体" w:hAnsi="楷体" w:eastAsia="楷体" w:cs="楷体"/>
          <w:color w:val="000000" w:themeColor="text1"/>
          <w:szCs w:val="32"/>
          <w14:textFill>
            <w14:solidFill>
              <w14:schemeClr w14:val="tx1"/>
            </w14:solidFill>
          </w14:textFill>
        </w:rPr>
        <w:t>6、电子监管系统信息。</w:t>
      </w:r>
      <w:r>
        <w:rPr>
          <w:rFonts w:hint="eastAsia" w:ascii="仿宋" w:hAnsi="仿宋" w:cs="仿宋"/>
          <w:color w:val="000000" w:themeColor="text1"/>
          <w:szCs w:val="32"/>
          <w14:textFill>
            <w14:solidFill>
              <w14:schemeClr w14:val="tx1"/>
            </w14:solidFill>
          </w14:textFill>
        </w:rPr>
        <w:t>县政务局协助行政监督部门尽快完成“湖北省招标投标电子监督平台”CA锁办理及开通工作，及时开展电子监督。县公共资源交易中心应将业务开展过程中发现的违法违规情形书面移交至县政务局公共资源交易监督管理股，并附现场锁定的证据材料，县政务局根据问题类型分别移交至有管辖权的行政监督部门，各行政监督部门及时将处理意见上传至“湖北省招标投标电子监督平台”，并以书面形式反馈至县政务局。</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楷体" w:hAnsi="楷体" w:eastAsia="楷体" w:cs="楷体"/>
          <w:color w:val="000000" w:themeColor="text1"/>
          <w:szCs w:val="32"/>
          <w14:textFill>
            <w14:solidFill>
              <w14:schemeClr w14:val="tx1"/>
            </w14:solidFill>
          </w14:textFill>
        </w:rPr>
        <w:t>7、立项审批信息。</w:t>
      </w:r>
      <w:r>
        <w:rPr>
          <w:rFonts w:hint="eastAsia" w:ascii="仿宋" w:hAnsi="仿宋" w:cs="仿宋"/>
          <w:color w:val="000000" w:themeColor="text1"/>
          <w:szCs w:val="32"/>
          <w14:textFill>
            <w14:solidFill>
              <w14:schemeClr w14:val="tx1"/>
            </w14:solidFill>
          </w14:textFill>
        </w:rPr>
        <w:t>县发改局、县财政局等有立项、审批权限的监督部门，应及时将审批核准项目情况（项目编号、招标方式、招标组织形式）抄送至县政务局及其他行政监督部门。</w:t>
      </w:r>
    </w:p>
    <w:p>
      <w:pPr>
        <w:spacing w:line="520" w:lineRule="exact"/>
        <w:ind w:firstLine="632" w:firstLineChars="200"/>
        <w:rPr>
          <w:rFonts w:ascii="楷体" w:hAnsi="楷体" w:eastAsia="楷体" w:cs="楷体"/>
          <w:b/>
          <w:bCs/>
          <w:color w:val="000000" w:themeColor="text1"/>
          <w:szCs w:val="32"/>
          <w14:textFill>
            <w14:solidFill>
              <w14:schemeClr w14:val="tx1"/>
            </w14:solidFill>
          </w14:textFill>
        </w:rPr>
      </w:pPr>
      <w:r>
        <w:rPr>
          <w:rFonts w:hint="eastAsia" w:ascii="楷体" w:hAnsi="楷体" w:eastAsia="楷体" w:cs="楷体"/>
          <w:b/>
          <w:bCs/>
          <w:color w:val="000000" w:themeColor="text1"/>
          <w:szCs w:val="32"/>
          <w14:textFill>
            <w14:solidFill>
              <w14:schemeClr w14:val="tx1"/>
            </w14:solidFill>
          </w14:textFill>
        </w:rPr>
        <w:t>（三）联动执法与联合检查。</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楷体" w:hAnsi="楷体" w:eastAsia="楷体" w:cs="楷体"/>
          <w:color w:val="000000" w:themeColor="text1"/>
          <w:szCs w:val="32"/>
          <w14:textFill>
            <w14:solidFill>
              <w14:schemeClr w14:val="tx1"/>
            </w14:solidFill>
          </w14:textFill>
        </w:rPr>
        <w:t>1、开展联动执法与联合检查的范围 。</w:t>
      </w:r>
      <w:r>
        <w:rPr>
          <w:rFonts w:hint="eastAsia" w:ascii="仿宋" w:hAnsi="仿宋" w:cs="仿宋"/>
          <w:color w:val="000000" w:themeColor="text1"/>
          <w:szCs w:val="32"/>
          <w14:textFill>
            <w14:solidFill>
              <w14:schemeClr w14:val="tx1"/>
            </w14:solidFill>
          </w14:textFill>
        </w:rPr>
        <w:t>一是公共资源交易综合监管部门和有关行政监督部门对同一违法违规行为或事项均有管辖权的；二是违法违规行为涉及跨区域、跨行业的；三是违法违规行为的处理职责或边界存在交叉的；四是查处规避招标、串通投标、以他人名义投标或者以其他方式弄虚作假骗取中标等情况复杂、涉及面广或情节严重的违法违规行为；五是对特定区域或领域的违法违规行为进行专项治理的；六是其他需要开展联合执法、联合检查的事项。</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仿宋" w:hAnsi="仿宋" w:cs="仿宋"/>
          <w:color w:val="000000" w:themeColor="text1"/>
          <w:szCs w:val="32"/>
          <w14:textFill>
            <w14:solidFill>
              <w14:schemeClr w14:val="tx1"/>
            </w14:solidFill>
          </w14:textFill>
        </w:rPr>
        <w:t xml:space="preserve"> </w:t>
      </w:r>
      <w:r>
        <w:rPr>
          <w:rFonts w:hint="eastAsia" w:ascii="楷体" w:hAnsi="楷体" w:eastAsia="楷体" w:cs="楷体"/>
          <w:color w:val="000000" w:themeColor="text1"/>
          <w:szCs w:val="32"/>
          <w14:textFill>
            <w14:solidFill>
              <w14:schemeClr w14:val="tx1"/>
            </w14:solidFill>
          </w14:textFill>
        </w:rPr>
        <w:t>2、联动执法与联合检查程序。</w:t>
      </w:r>
      <w:r>
        <w:rPr>
          <w:rFonts w:hint="eastAsia" w:ascii="仿宋" w:hAnsi="仿宋" w:cs="仿宋"/>
          <w:color w:val="000000" w:themeColor="text1"/>
          <w:szCs w:val="32"/>
          <w14:textFill>
            <w14:solidFill>
              <w14:schemeClr w14:val="tx1"/>
            </w14:solidFill>
          </w14:textFill>
        </w:rPr>
        <w:t>联合执法检查原则上应半年开展一次，根据需要可增加或减少，严格按照“双随机一公开制度”进行。由发起部门负责起草联合执法检查方案，与参与部门一起协商确定。方案中应明确各参与部门的职责分工、执法或检查的目的、对象、范围、内容、时间、方式和步骤等。参与各部门要依法履行职责，按照方案的要求选派人员参加，完成联合执法或联合检查的工作。</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仿宋" w:hAnsi="仿宋" w:cs="仿宋"/>
          <w:color w:val="000000" w:themeColor="text1"/>
          <w:szCs w:val="32"/>
          <w14:textFill>
            <w14:solidFill>
              <w14:schemeClr w14:val="tx1"/>
            </w14:solidFill>
          </w14:textFill>
        </w:rPr>
        <w:t>县公共资源交易中心配合监督部门做好证据收集、保存及移交工作，依据监督部门处理意见做好相关服务。</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楷体" w:hAnsi="楷体" w:eastAsia="楷体" w:cs="楷体"/>
          <w:color w:val="000000" w:themeColor="text1"/>
          <w:szCs w:val="32"/>
          <w14:textFill>
            <w14:solidFill>
              <w14:schemeClr w14:val="tx1"/>
            </w14:solidFill>
          </w14:textFill>
        </w:rPr>
        <w:t>3、联动执法与联合检查结果运用。</w:t>
      </w:r>
      <w:r>
        <w:rPr>
          <w:rFonts w:hint="eastAsia" w:ascii="仿宋" w:hAnsi="仿宋" w:cs="仿宋"/>
          <w:color w:val="000000" w:themeColor="text1"/>
          <w:szCs w:val="32"/>
          <w14:textFill>
            <w14:solidFill>
              <w14:schemeClr w14:val="tx1"/>
            </w14:solidFill>
          </w14:textFill>
        </w:rPr>
        <w:t>开展联合执法或联合检查时，对发现的违法违规行为，由各参与部门按法定的职责分别依法作出处理。需要移送其他相关部门处理的，按照本方案中规定的有关案件移送制度办理。联合执法与联合检查的相关信息需要向社会进行公布的应当统一公布，需要分别向有关部门上报的应当统一口径，保证信息的一致性。</w:t>
      </w:r>
    </w:p>
    <w:p>
      <w:pPr>
        <w:spacing w:line="520" w:lineRule="exact"/>
        <w:ind w:firstLine="632" w:firstLineChars="200"/>
        <w:rPr>
          <w:rFonts w:ascii="楷体" w:hAnsi="楷体" w:eastAsia="楷体" w:cs="楷体"/>
          <w:b/>
          <w:bCs/>
          <w:color w:val="000000" w:themeColor="text1"/>
          <w:szCs w:val="32"/>
          <w14:textFill>
            <w14:solidFill>
              <w14:schemeClr w14:val="tx1"/>
            </w14:solidFill>
          </w14:textFill>
        </w:rPr>
      </w:pPr>
      <w:r>
        <w:rPr>
          <w:rFonts w:hint="eastAsia" w:ascii="楷体" w:hAnsi="楷体" w:eastAsia="楷体" w:cs="楷体"/>
          <w:b/>
          <w:bCs/>
          <w:color w:val="000000" w:themeColor="text1"/>
          <w:szCs w:val="32"/>
          <w14:textFill>
            <w14:solidFill>
              <w14:schemeClr w14:val="tx1"/>
            </w14:solidFill>
          </w14:textFill>
        </w:rPr>
        <w:t>（四）违法违规案件移送。</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楷体" w:hAnsi="楷体" w:eastAsia="楷体" w:cs="楷体"/>
          <w:color w:val="000000" w:themeColor="text1"/>
          <w:szCs w:val="32"/>
          <w14:textFill>
            <w14:solidFill>
              <w14:schemeClr w14:val="tx1"/>
            </w14:solidFill>
          </w14:textFill>
        </w:rPr>
        <w:t>1、移送的范围。</w:t>
      </w:r>
      <w:r>
        <w:rPr>
          <w:rFonts w:hint="eastAsia" w:ascii="仿宋" w:hAnsi="仿宋" w:cs="仿宋"/>
          <w:color w:val="000000" w:themeColor="text1"/>
          <w:szCs w:val="32"/>
          <w14:textFill>
            <w14:solidFill>
              <w14:schemeClr w14:val="tx1"/>
            </w14:solidFill>
          </w14:textFill>
        </w:rPr>
        <w:t>案件在查处过程中，有下列情形之一的，由受理部门按规定移送相关部门处理：一是依法需要暂停或停止项目执行，降低资质资格等级、吊销资质证书或营业执照及其他行政处罚，暂停或停止土地或矿业权出让、资产权属登记过户，或者其他不属于本部门职责范围的，应当移送有管辖权的相关部门处理；二是依法需要暂停或停止资金拨付的，应当移送项目资金拨付相关部门处理；三是依法需要禁止进入公共资源交易中心参与交易活动的，应当移送综合监督管理部门处理；四是涉嫌犯罪的，应当移送公安机关处理。</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仿宋" w:hAnsi="仿宋" w:cs="仿宋"/>
          <w:color w:val="000000" w:themeColor="text1"/>
          <w:szCs w:val="32"/>
          <w14:textFill>
            <w14:solidFill>
              <w14:schemeClr w14:val="tx1"/>
            </w14:solidFill>
          </w14:textFill>
        </w:rPr>
        <w:t xml:space="preserve"> </w:t>
      </w:r>
      <w:r>
        <w:rPr>
          <w:rFonts w:hint="eastAsia" w:ascii="楷体" w:hAnsi="楷体" w:eastAsia="楷体" w:cs="楷体"/>
          <w:color w:val="000000" w:themeColor="text1"/>
          <w:szCs w:val="32"/>
          <w14:textFill>
            <w14:solidFill>
              <w14:schemeClr w14:val="tx1"/>
            </w14:solidFill>
          </w14:textFill>
        </w:rPr>
        <w:t>2、移送时间及程序。</w:t>
      </w:r>
      <w:r>
        <w:rPr>
          <w:rFonts w:hint="eastAsia" w:ascii="仿宋" w:hAnsi="仿宋" w:cs="仿宋"/>
          <w:color w:val="000000" w:themeColor="text1"/>
          <w:szCs w:val="32"/>
          <w14:textFill>
            <w14:solidFill>
              <w14:schemeClr w14:val="tx1"/>
            </w14:solidFill>
          </w14:textFill>
        </w:rPr>
        <w:t>县政务局和各有关行政监督部门在受理公共资源交易投诉、举报和查处违法违规案件时，按法定职责应当由其他部门查处和立案的，应当在3个工作日内书面告知投诉人向有管辖权的部门提起投诉。案件需要移送的，有关部门应当在收到投诉举报件或发现违法行为之日起5个工作日内完成移送。法律法规另有规定的，从其规定。案件材料移送的方式根据具体情况可采取直接送达、邮寄送达和电子邮件送达等方式。移送部门应当制作移送回执，列明移送的材料目录，接受移送材料的部门应当办理回执事宜。</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仿宋" w:hAnsi="仿宋" w:cs="仿宋"/>
          <w:color w:val="000000" w:themeColor="text1"/>
          <w:szCs w:val="32"/>
          <w14:textFill>
            <w14:solidFill>
              <w14:schemeClr w14:val="tx1"/>
            </w14:solidFill>
          </w14:textFill>
        </w:rPr>
        <w:t>对于涉嫌犯罪的案件按照《行政执法机关移送涉嫌犯罪案件的规定》（国务院第310号令）和《公安机关受理行政执法机关移送涉嫌犯罪案件规定》（公通字〔2016〕16号）进行移送。</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楷体" w:hAnsi="楷体" w:eastAsia="楷体" w:cs="楷体"/>
          <w:color w:val="000000" w:themeColor="text1"/>
          <w:szCs w:val="32"/>
          <w14:textFill>
            <w14:solidFill>
              <w14:schemeClr w14:val="tx1"/>
            </w14:solidFill>
          </w14:textFill>
        </w:rPr>
        <w:t>3、移送案件处理。</w:t>
      </w:r>
      <w:r>
        <w:rPr>
          <w:rFonts w:hint="eastAsia" w:ascii="仿宋" w:hAnsi="仿宋" w:cs="仿宋"/>
          <w:color w:val="000000" w:themeColor="text1"/>
          <w:szCs w:val="32"/>
          <w14:textFill>
            <w14:solidFill>
              <w14:schemeClr w14:val="tx1"/>
            </w14:solidFill>
          </w14:textFill>
        </w:rPr>
        <w:t>一是对属于本部门法定职责范围的，不得推诿、敷衍，应当依法进行处理；二是对属于本部门法定职责范围但不属于本级机关管辖的，移送有管辖权的机关，并书面告知移送案件的部门；三是对不属于本部门职责范围的，收到案件材料后5个工作日内将案件材料退回移送案件的部门，并书面说明理由。</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仿宋" w:hAnsi="仿宋" w:cs="仿宋"/>
          <w:color w:val="000000" w:themeColor="text1"/>
          <w:szCs w:val="32"/>
          <w14:textFill>
            <w14:solidFill>
              <w14:schemeClr w14:val="tx1"/>
            </w14:solidFill>
          </w14:textFill>
        </w:rPr>
        <w:t>对接受的移送案件属于本部门职责的，应当自决定是否受理之日起5个工作日内将受理结果回告移送案件的部门。决定受理的，应当自处理完毕后10个工作日内将办理结果回告移送案件部门。</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仿宋" w:hAnsi="仿宋" w:cs="仿宋"/>
          <w:color w:val="000000" w:themeColor="text1"/>
          <w:szCs w:val="32"/>
          <w14:textFill>
            <w14:solidFill>
              <w14:schemeClr w14:val="tx1"/>
            </w14:solidFill>
          </w14:textFill>
        </w:rPr>
        <w:t>有关部门在查处公共资源交易违法违规案件过程中，需要其他部门或机关协助办理的，应当向协助办理单位发出协助办理函，协助办理函应当载明案件基本情况、需要协助办理的事项及理由、相关证据资料。协助办理部门或机关在收到协助办理函后，应当及时审查协查资料，不得推诿、敷衍，不得以不合理的理由拒绝。对于超出本部门职能的协助办理事项，应于收到协助办理函之日起5个工作日内将函件退回，并说明原因，对于本部门能够协助办理的事项，应及时进行协助办理并书面反馈协查的结果。</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楷体" w:hAnsi="楷体" w:eastAsia="楷体" w:cs="楷体"/>
          <w:b/>
          <w:bCs/>
          <w:color w:val="000000" w:themeColor="text1"/>
          <w:szCs w:val="32"/>
          <w14:textFill>
            <w14:solidFill>
              <w14:schemeClr w14:val="tx1"/>
            </w14:solidFill>
          </w14:textFill>
        </w:rPr>
        <w:t>（五）联合奖惩。</w:t>
      </w:r>
      <w:r>
        <w:rPr>
          <w:rFonts w:hint="eastAsia" w:ascii="仿宋" w:hAnsi="仿宋" w:cs="仿宋"/>
          <w:color w:val="000000" w:themeColor="text1"/>
          <w:szCs w:val="32"/>
          <w14:textFill>
            <w14:solidFill>
              <w14:schemeClr w14:val="tx1"/>
            </w14:solidFill>
          </w14:textFill>
        </w:rPr>
        <w:t>公共资源交易监督部门按照国家部委及湖北省各级建立的联合奖惩备忘录约定内容，依法依规对公共资源交易市场主体实施联合奖惩，将公共资源交易市场主体信用信息作为市场准入、项目审批、资质资格审核的重要依据。</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仿宋" w:hAnsi="仿宋" w:cs="仿宋"/>
          <w:color w:val="000000" w:themeColor="text1"/>
          <w:szCs w:val="32"/>
          <w14:textFill>
            <w14:solidFill>
              <w14:schemeClr w14:val="tx1"/>
            </w14:solidFill>
          </w14:textFill>
        </w:rPr>
        <w:t xml:space="preserve"> </w:t>
      </w:r>
      <w:r>
        <w:rPr>
          <w:rFonts w:hint="eastAsia" w:ascii="楷体" w:hAnsi="楷体" w:eastAsia="楷体" w:cs="楷体"/>
          <w:color w:val="000000" w:themeColor="text1"/>
          <w:szCs w:val="32"/>
          <w14:textFill>
            <w14:solidFill>
              <w14:schemeClr w14:val="tx1"/>
            </w14:solidFill>
          </w14:textFill>
        </w:rPr>
        <w:t>1、建立评先表彰和守信激励工作机制。</w:t>
      </w:r>
      <w:r>
        <w:rPr>
          <w:rFonts w:hint="eastAsia" w:ascii="仿宋" w:hAnsi="仿宋" w:cs="仿宋"/>
          <w:color w:val="000000" w:themeColor="text1"/>
          <w:szCs w:val="32"/>
          <w14:textFill>
            <w14:solidFill>
              <w14:schemeClr w14:val="tx1"/>
            </w14:solidFill>
          </w14:textFill>
        </w:rPr>
        <w:t>对合法参与公共交易、诚信经营的市场主体提供优先办理、简化程序、信用加分以及金融税务等方面奖励和激励措施，推进诚信和谐的交易环境建设进程。</w:t>
      </w:r>
    </w:p>
    <w:p>
      <w:pPr>
        <w:spacing w:line="520" w:lineRule="exact"/>
        <w:ind w:firstLine="632" w:firstLineChars="200"/>
        <w:rPr>
          <w:rFonts w:ascii="仿宋" w:hAnsi="仿宋" w:cs="仿宋"/>
          <w:color w:val="000000" w:themeColor="text1"/>
          <w:szCs w:val="32"/>
          <w14:textFill>
            <w14:solidFill>
              <w14:schemeClr w14:val="tx1"/>
            </w14:solidFill>
          </w14:textFill>
        </w:rPr>
      </w:pPr>
      <w:r>
        <w:rPr>
          <w:rFonts w:hint="eastAsia" w:ascii="仿宋" w:hAnsi="仿宋" w:cs="仿宋"/>
          <w:color w:val="000000" w:themeColor="text1"/>
          <w:szCs w:val="32"/>
          <w14:textFill>
            <w14:solidFill>
              <w14:schemeClr w14:val="tx1"/>
            </w14:solidFill>
          </w14:textFill>
        </w:rPr>
        <w:t xml:space="preserve"> </w:t>
      </w:r>
      <w:r>
        <w:rPr>
          <w:rFonts w:hint="eastAsia" w:ascii="楷体" w:hAnsi="楷体" w:eastAsia="楷体" w:cs="楷体"/>
          <w:color w:val="000000" w:themeColor="text1"/>
          <w:szCs w:val="32"/>
          <w14:textFill>
            <w14:solidFill>
              <w14:schemeClr w14:val="tx1"/>
            </w14:solidFill>
          </w14:textFill>
        </w:rPr>
        <w:t>2、实行联合惩戒。</w:t>
      </w:r>
      <w:r>
        <w:rPr>
          <w:rFonts w:hint="eastAsia" w:ascii="仿宋" w:hAnsi="仿宋" w:cs="仿宋"/>
          <w:color w:val="000000" w:themeColor="text1"/>
          <w:szCs w:val="32"/>
          <w14:textFill>
            <w14:solidFill>
              <w14:schemeClr w14:val="tx1"/>
            </w14:solidFill>
          </w14:textFill>
        </w:rPr>
        <w:t>在日常监督中发现的违法违规情形应及时调查处理，对于投诉处理和执法检查中查处的不法行为除依法处罚外，还应及时上传“湖北省违法违规信息发布平台”，进行信用记分，开展联合惩戒。本着一事不二罚的原则，由初始发现部门及有管辖权的机关查处后将处理结果报至县政务局，县政务局发布联合惩戒备忘录并印发至各监督部门后共同执行。</w:t>
      </w:r>
    </w:p>
    <w:p>
      <w:pPr>
        <w:spacing w:line="520" w:lineRule="exact"/>
        <w:ind w:firstLine="632" w:firstLineChars="200"/>
        <w:rPr>
          <w:rFonts w:ascii="仿宋" w:hAnsi="仿宋" w:cs="仿宋"/>
          <w:color w:val="000000" w:themeColor="text1"/>
          <w:szCs w:val="32"/>
          <w14:textFill>
            <w14:solidFill>
              <w14:schemeClr w14:val="tx1"/>
            </w14:solidFill>
          </w14:textFill>
        </w:rPr>
      </w:pPr>
    </w:p>
    <w:p>
      <w:pPr>
        <w:pStyle w:val="2"/>
        <w:ind w:left="632" w:firstLine="632"/>
        <w:rPr>
          <w:rFonts w:hint="default" w:ascii="仿宋" w:hAnsi="仿宋" w:cs="仿宋"/>
          <w:color w:val="000000" w:themeColor="text1"/>
          <w:szCs w:val="32"/>
          <w14:textFill>
            <w14:solidFill>
              <w14:schemeClr w14:val="tx1"/>
            </w14:solidFill>
          </w14:textFill>
        </w:rPr>
      </w:pPr>
    </w:p>
    <w:p>
      <w:pPr>
        <w:rPr>
          <w:rFonts w:ascii="仿宋" w:hAnsi="仿宋" w:cs="仿宋"/>
          <w:color w:val="000000" w:themeColor="text1"/>
          <w:szCs w:val="32"/>
          <w14:textFill>
            <w14:solidFill>
              <w14:schemeClr w14:val="tx1"/>
            </w14:solidFill>
          </w14:textFill>
        </w:rPr>
      </w:pPr>
    </w:p>
    <w:p>
      <w:pPr>
        <w:pStyle w:val="2"/>
        <w:ind w:left="632" w:firstLine="632"/>
        <w:rPr>
          <w:rFonts w:hint="default" w:ascii="仿宋" w:hAnsi="仿宋" w:cs="仿宋"/>
          <w:color w:val="000000" w:themeColor="text1"/>
          <w:szCs w:val="32"/>
          <w14:textFill>
            <w14:solidFill>
              <w14:schemeClr w14:val="tx1"/>
            </w14:solidFill>
          </w14:textFill>
        </w:rPr>
      </w:pPr>
    </w:p>
    <w:p/>
    <w:p>
      <w:pPr>
        <w:spacing w:line="520" w:lineRule="exact"/>
        <w:jc w:val="center"/>
        <w:rPr>
          <w:rFonts w:ascii="仿宋_GB2312" w:hAnsi="仿宋_GB2312" w:eastAsia="仿宋_GB2312" w:cs="仿宋_GB2312"/>
          <w:color w:val="000000" w:themeColor="text1"/>
          <w:szCs w:val="32"/>
          <w14:textFill>
            <w14:solidFill>
              <w14:schemeClr w14:val="tx1"/>
            </w14:solidFill>
          </w14:textFill>
        </w:rPr>
      </w:pPr>
      <w:r>
        <w:rPr>
          <w:rFonts w:hint="eastAsia" w:ascii="仿宋_GB2312" w:hAnsi="仿宋_GB2312" w:eastAsia="仿宋_GB2312" w:cs="仿宋_GB2312"/>
          <w:color w:val="000000" w:themeColor="text1"/>
          <w:szCs w:val="32"/>
          <w14:textFill>
            <w14:solidFill>
              <w14:schemeClr w14:val="tx1"/>
            </w14:solidFill>
          </w14:textFill>
        </w:rPr>
        <w:t xml:space="preserve">                宣恩县公共资源交易管理委员会</w:t>
      </w:r>
    </w:p>
    <w:p>
      <w:pPr>
        <w:spacing w:line="520" w:lineRule="exact"/>
        <w:jc w:val="center"/>
        <w:rPr>
          <w:rFonts w:ascii="仿宋" w:hAnsi="仿宋" w:cs="仿宋"/>
          <w:color w:val="000000" w:themeColor="text1"/>
          <w:szCs w:val="32"/>
          <w14:textFill>
            <w14:solidFill>
              <w14:schemeClr w14:val="tx1"/>
            </w14:solidFill>
          </w14:textFill>
        </w:rPr>
      </w:pPr>
      <w:r>
        <w:rPr>
          <w:rFonts w:hint="eastAsia" w:ascii="仿宋_GB2312" w:hAnsi="仿宋_GB2312" w:eastAsia="仿宋_GB2312" w:cs="仿宋_GB2312"/>
          <w:color w:val="000000" w:themeColor="text1"/>
          <w:szCs w:val="32"/>
          <w14:textFill>
            <w14:solidFill>
              <w14:schemeClr w14:val="tx1"/>
            </w14:solidFill>
          </w14:textFill>
        </w:rPr>
        <w:t xml:space="preserve">              2020年</w:t>
      </w:r>
      <w:r>
        <w:rPr>
          <w:rFonts w:hint="eastAsia" w:ascii="仿宋_GB2312" w:hAnsi="仿宋_GB2312" w:eastAsia="仿宋_GB2312" w:cs="仿宋_GB2312"/>
          <w:color w:val="000000" w:themeColor="text1"/>
          <w:szCs w:val="32"/>
          <w:lang w:val="en-US" w:eastAsia="zh-CN"/>
          <w14:textFill>
            <w14:solidFill>
              <w14:schemeClr w14:val="tx1"/>
            </w14:solidFill>
          </w14:textFill>
        </w:rPr>
        <w:t>8</w:t>
      </w:r>
      <w:r>
        <w:rPr>
          <w:rFonts w:hint="eastAsia" w:ascii="仿宋_GB2312" w:hAnsi="仿宋_GB2312" w:eastAsia="仿宋_GB2312" w:cs="仿宋_GB2312"/>
          <w:color w:val="000000" w:themeColor="text1"/>
          <w:szCs w:val="32"/>
          <w14:textFill>
            <w14:solidFill>
              <w14:schemeClr w14:val="tx1"/>
            </w14:solidFill>
          </w14:textFill>
        </w:rPr>
        <w:t>月</w:t>
      </w:r>
      <w:r>
        <w:rPr>
          <w:rFonts w:hint="eastAsia" w:ascii="仿宋_GB2312" w:hAnsi="仿宋_GB2312" w:eastAsia="仿宋_GB2312" w:cs="仿宋_GB2312"/>
          <w:color w:val="000000" w:themeColor="text1"/>
          <w:szCs w:val="32"/>
          <w:lang w:val="en-US" w:eastAsia="zh-CN"/>
          <w14:textFill>
            <w14:solidFill>
              <w14:schemeClr w14:val="tx1"/>
            </w14:solidFill>
          </w14:textFill>
        </w:rPr>
        <w:t>10</w:t>
      </w:r>
      <w:r>
        <w:rPr>
          <w:rFonts w:hint="eastAsia" w:ascii="仿宋_GB2312" w:hAnsi="仿宋_GB2312" w:eastAsia="仿宋_GB2312" w:cs="仿宋_GB2312"/>
          <w:color w:val="000000" w:themeColor="text1"/>
          <w:szCs w:val="32"/>
          <w14:textFill>
            <w14:solidFill>
              <w14:schemeClr w14:val="tx1"/>
            </w14:solidFill>
          </w14:textFill>
        </w:rPr>
        <w:t>日</w:t>
      </w:r>
    </w:p>
    <w:p>
      <w:pPr>
        <w:pStyle w:val="8"/>
        <w:widowControl/>
        <w:spacing w:beforeAutospacing="0" w:afterAutospacing="0" w:line="540" w:lineRule="exact"/>
        <w:ind w:left="3792" w:leftChars="304" w:hanging="2832" w:hangingChars="1200"/>
      </w:pPr>
    </w:p>
    <w:sectPr>
      <w:footerReference r:id="rId3" w:type="default"/>
      <w:footerReference r:id="rId4" w:type="even"/>
      <w:pgSz w:w="11906" w:h="16838"/>
      <w:pgMar w:top="2098" w:right="1474" w:bottom="1984" w:left="1587" w:header="851" w:footer="992" w:gutter="0"/>
      <w:cols w:space="0" w:num="1"/>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Style w:val="10"/>
                              <w:sz w:val="28"/>
                            </w:rPr>
                          </w:pPr>
                          <w:r>
                            <w:rPr>
                              <w:rStyle w:val="10"/>
                              <w:rFonts w:hint="eastAsia"/>
                              <w:sz w:val="28"/>
                            </w:rPr>
                            <w:t>—</w:t>
                          </w:r>
                          <w:r>
                            <w:rPr>
                              <w:rStyle w:val="10"/>
                              <w:sz w:val="28"/>
                            </w:rPr>
                            <w:t xml:space="preserve"> </w:t>
                          </w:r>
                          <w:r>
                            <w:rPr>
                              <w:sz w:val="28"/>
                            </w:rPr>
                            <w:fldChar w:fldCharType="begin"/>
                          </w:r>
                          <w:r>
                            <w:rPr>
                              <w:rStyle w:val="10"/>
                              <w:sz w:val="28"/>
                            </w:rPr>
                            <w:instrText xml:space="preserve">PAGE  </w:instrText>
                          </w:r>
                          <w:r>
                            <w:rPr>
                              <w:sz w:val="28"/>
                            </w:rPr>
                            <w:fldChar w:fldCharType="separate"/>
                          </w:r>
                          <w:r>
                            <w:rPr>
                              <w:rStyle w:val="10"/>
                              <w:sz w:val="28"/>
                            </w:rPr>
                            <w:t>5</w:t>
                          </w:r>
                          <w:r>
                            <w:rPr>
                              <w:sz w:val="28"/>
                            </w:rPr>
                            <w:fldChar w:fldCharType="end"/>
                          </w:r>
                          <w:r>
                            <w:rPr>
                              <w:rStyle w:val="10"/>
                              <w:sz w:val="28"/>
                            </w:rPr>
                            <w:t xml:space="preserve"> </w:t>
                          </w:r>
                          <w:r>
                            <w:rPr>
                              <w:rStyle w:val="10"/>
                              <w:rFonts w:hint="eastAsia"/>
                              <w:sz w:val="28"/>
                            </w:rPr>
                            <w:t>—</w:t>
                          </w:r>
                        </w:p>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&#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k7mmg4CAAAHBAAADgAAAAAAAAABACAAAAAf&#10;AQAAZHJzL2Uyb0RvYy54bWxQSwUGAAAAAAYABgBZAQAAnwUAAAAA&#10;">
              <v:fill on="f" focussize="0,0"/>
              <v:stroke on="f" weight="0.5pt"/>
              <v:imagedata o:title=""/>
              <o:lock v:ext="edit" aspectratio="f"/>
              <v:textbox inset="0mm,0mm,0mm,0mm" style="mso-fit-shape-to-text:t;">
                <w:txbxContent>
                  <w:p>
                    <w:pPr>
                      <w:pStyle w:val="6"/>
                      <w:rPr>
                        <w:rStyle w:val="10"/>
                        <w:sz w:val="28"/>
                      </w:rPr>
                    </w:pPr>
                    <w:r>
                      <w:rPr>
                        <w:rStyle w:val="10"/>
                        <w:rFonts w:hint="eastAsia"/>
                        <w:sz w:val="28"/>
                      </w:rPr>
                      <w:t>—</w:t>
                    </w:r>
                    <w:r>
                      <w:rPr>
                        <w:rStyle w:val="10"/>
                        <w:sz w:val="28"/>
                      </w:rPr>
                      <w:t xml:space="preserve"> </w:t>
                    </w:r>
                    <w:r>
                      <w:rPr>
                        <w:sz w:val="28"/>
                      </w:rPr>
                      <w:fldChar w:fldCharType="begin"/>
                    </w:r>
                    <w:r>
                      <w:rPr>
                        <w:rStyle w:val="10"/>
                        <w:sz w:val="28"/>
                      </w:rPr>
                      <w:instrText xml:space="preserve">PAGE  </w:instrText>
                    </w:r>
                    <w:r>
                      <w:rPr>
                        <w:sz w:val="28"/>
                      </w:rPr>
                      <w:fldChar w:fldCharType="separate"/>
                    </w:r>
                    <w:r>
                      <w:rPr>
                        <w:rStyle w:val="10"/>
                        <w:sz w:val="28"/>
                      </w:rPr>
                      <w:t>5</w:t>
                    </w:r>
                    <w:r>
                      <w:rPr>
                        <w:sz w:val="28"/>
                      </w:rPr>
                      <w:fldChar w:fldCharType="end"/>
                    </w:r>
                    <w:r>
                      <w:rPr>
                        <w:rStyle w:val="10"/>
                        <w:sz w:val="28"/>
                      </w:rPr>
                      <w:t xml:space="preserve"> </w:t>
                    </w:r>
                    <w:r>
                      <w:rPr>
                        <w:rStyle w:val="10"/>
                        <w:rFonts w:hint="eastAsia"/>
                        <w:sz w:val="28"/>
                      </w:rPr>
                      <w:t>—</w:t>
                    </w:r>
                  </w:p>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sz w:val="28"/>
                              <w:szCs w:val="2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6"/>
                      <w:rPr>
                        <w:sz w:val="28"/>
                        <w:szCs w:val="2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3360"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Style w:val="10"/>
                              <w:sz w:val="28"/>
                            </w:rPr>
                          </w:pPr>
                          <w:r>
                            <w:rPr>
                              <w:rStyle w:val="10"/>
                              <w:rFonts w:hint="eastAsia"/>
                              <w:sz w:val="28"/>
                            </w:rPr>
                            <w:t>—</w:t>
                          </w:r>
                          <w:r>
                            <w:rPr>
                              <w:rStyle w:val="10"/>
                              <w:sz w:val="28"/>
                            </w:rPr>
                            <w:t xml:space="preserve"> </w:t>
                          </w:r>
                          <w:r>
                            <w:rPr>
                              <w:sz w:val="28"/>
                            </w:rPr>
                            <w:fldChar w:fldCharType="begin"/>
                          </w:r>
                          <w:r>
                            <w:rPr>
                              <w:rStyle w:val="10"/>
                              <w:sz w:val="28"/>
                            </w:rPr>
                            <w:instrText xml:space="preserve">PAGE  </w:instrText>
                          </w:r>
                          <w:r>
                            <w:rPr>
                              <w:sz w:val="28"/>
                            </w:rPr>
                            <w:fldChar w:fldCharType="separate"/>
                          </w:r>
                          <w:r>
                            <w:rPr>
                              <w:rStyle w:val="10"/>
                              <w:sz w:val="28"/>
                            </w:rPr>
                            <w:t>6</w:t>
                          </w:r>
                          <w:r>
                            <w:rPr>
                              <w:sz w:val="28"/>
                            </w:rPr>
                            <w:fldChar w:fldCharType="end"/>
                          </w:r>
                          <w:r>
                            <w:rPr>
                              <w:rStyle w:val="10"/>
                              <w:sz w:val="28"/>
                            </w:rPr>
                            <w:t xml:space="preserve"> </w:t>
                          </w:r>
                          <w:r>
                            <w:rPr>
                              <w:rStyle w:val="10"/>
                              <w:rFonts w:hint="eastAsia"/>
                              <w:sz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MuXNVEPAgAABwQAAA4AAAAAAAAAAQAgAAAA&#10;HwEAAGRycy9lMm9Eb2MueG1sUEsFBgAAAAAGAAYAWQEAAKAFAAAAAA==&#10;">
              <v:fill on="f" focussize="0,0"/>
              <v:stroke on="f" weight="0.5pt"/>
              <v:imagedata o:title=""/>
              <o:lock v:ext="edit" aspectratio="f"/>
              <v:textbox inset="0mm,0mm,0mm,0mm" style="mso-fit-shape-to-text:t;">
                <w:txbxContent>
                  <w:p>
                    <w:pPr>
                      <w:pStyle w:val="6"/>
                      <w:rPr>
                        <w:rStyle w:val="10"/>
                        <w:sz w:val="28"/>
                      </w:rPr>
                    </w:pPr>
                    <w:r>
                      <w:rPr>
                        <w:rStyle w:val="10"/>
                        <w:rFonts w:hint="eastAsia"/>
                        <w:sz w:val="28"/>
                      </w:rPr>
                      <w:t>—</w:t>
                    </w:r>
                    <w:r>
                      <w:rPr>
                        <w:rStyle w:val="10"/>
                        <w:sz w:val="28"/>
                      </w:rPr>
                      <w:t xml:space="preserve"> </w:t>
                    </w:r>
                    <w:r>
                      <w:rPr>
                        <w:sz w:val="28"/>
                      </w:rPr>
                      <w:fldChar w:fldCharType="begin"/>
                    </w:r>
                    <w:r>
                      <w:rPr>
                        <w:rStyle w:val="10"/>
                        <w:sz w:val="28"/>
                      </w:rPr>
                      <w:instrText xml:space="preserve">PAGE  </w:instrText>
                    </w:r>
                    <w:r>
                      <w:rPr>
                        <w:sz w:val="28"/>
                      </w:rPr>
                      <w:fldChar w:fldCharType="separate"/>
                    </w:r>
                    <w:r>
                      <w:rPr>
                        <w:rStyle w:val="10"/>
                        <w:sz w:val="28"/>
                      </w:rPr>
                      <w:t>6</w:t>
                    </w:r>
                    <w:r>
                      <w:rPr>
                        <w:sz w:val="28"/>
                      </w:rPr>
                      <w:fldChar w:fldCharType="end"/>
                    </w:r>
                    <w:r>
                      <w:rPr>
                        <w:rStyle w:val="10"/>
                        <w:sz w:val="28"/>
                      </w:rPr>
                      <w:t xml:space="preserve"> </w:t>
                    </w:r>
                    <w:r>
                      <w:rPr>
                        <w:rStyle w:val="10"/>
                        <w:rFonts w:hint="eastAsia"/>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attachedTemplate r:id="rId1"/>
  <w:documentProtection w:enforcement="0"/>
  <w:defaultTabStop w:val="420"/>
  <w:evenAndOddHeaders w:val="1"/>
  <w:drawingGridHorizontalSpacing w:val="158"/>
  <w:drawingGridVerticalSpacing w:val="290"/>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DF277B"/>
    <w:rsid w:val="000E29B9"/>
    <w:rsid w:val="009625D5"/>
    <w:rsid w:val="009E5AC5"/>
    <w:rsid w:val="06821373"/>
    <w:rsid w:val="09A74913"/>
    <w:rsid w:val="0A8E5840"/>
    <w:rsid w:val="0CA330D7"/>
    <w:rsid w:val="0CCA71EA"/>
    <w:rsid w:val="0CE2321D"/>
    <w:rsid w:val="0E11739B"/>
    <w:rsid w:val="0FC43032"/>
    <w:rsid w:val="10374155"/>
    <w:rsid w:val="1CCC5C54"/>
    <w:rsid w:val="22C20E5F"/>
    <w:rsid w:val="24A56489"/>
    <w:rsid w:val="25325F2C"/>
    <w:rsid w:val="28F17742"/>
    <w:rsid w:val="3084792B"/>
    <w:rsid w:val="32630721"/>
    <w:rsid w:val="326E273F"/>
    <w:rsid w:val="32EF3086"/>
    <w:rsid w:val="3446688D"/>
    <w:rsid w:val="39F0338E"/>
    <w:rsid w:val="3A11519E"/>
    <w:rsid w:val="3B3E239F"/>
    <w:rsid w:val="3BA2504F"/>
    <w:rsid w:val="3BA7288C"/>
    <w:rsid w:val="465D4FC6"/>
    <w:rsid w:val="4B584E7D"/>
    <w:rsid w:val="4C2805CC"/>
    <w:rsid w:val="4CA44362"/>
    <w:rsid w:val="4E1D4A90"/>
    <w:rsid w:val="4F69638D"/>
    <w:rsid w:val="51A92616"/>
    <w:rsid w:val="55CC272E"/>
    <w:rsid w:val="565B66A3"/>
    <w:rsid w:val="5CAB7D97"/>
    <w:rsid w:val="5D8C62F8"/>
    <w:rsid w:val="5F761311"/>
    <w:rsid w:val="61C746C8"/>
    <w:rsid w:val="63DF277B"/>
    <w:rsid w:val="6D535020"/>
    <w:rsid w:val="6EB33813"/>
    <w:rsid w:val="75FD54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eastAsia="仿宋" w:asciiTheme="minorHAnsi" w:hAnsiTheme="minorHAnsi" w:cstheme="minorBidi"/>
      <w:kern w:val="2"/>
      <w:sz w:val="32"/>
      <w:szCs w:val="24"/>
      <w:lang w:val="en-US" w:eastAsia="zh-CN" w:bidi="ar-SA"/>
    </w:rPr>
  </w:style>
  <w:style w:type="paragraph" w:styleId="4">
    <w:name w:val="heading 1"/>
    <w:basedOn w:val="1"/>
    <w:next w:val="1"/>
    <w:qFormat/>
    <w:uiPriority w:val="0"/>
    <w:pPr>
      <w:spacing w:beforeAutospacing="1" w:afterAutospacing="1"/>
      <w:jc w:val="left"/>
      <w:outlineLvl w:val="0"/>
    </w:pPr>
    <w:rPr>
      <w:rFonts w:hint="eastAsia" w:ascii="宋体" w:hAnsi="宋体" w:eastAsia="宋体" w:cs="Times New Roman"/>
      <w:b/>
      <w:kern w:val="44"/>
      <w:sz w:val="48"/>
      <w:szCs w:val="48"/>
    </w:rPr>
  </w:style>
  <w:style w:type="paragraph" w:styleId="5">
    <w:name w:val="heading 2"/>
    <w:basedOn w:val="1"/>
    <w:next w:val="1"/>
    <w:unhideWhenUsed/>
    <w:qFormat/>
    <w:uiPriority w:val="0"/>
    <w:pPr>
      <w:spacing w:beforeAutospacing="1" w:afterAutospacing="1"/>
      <w:jc w:val="left"/>
      <w:outlineLvl w:val="1"/>
    </w:pPr>
    <w:rPr>
      <w:rFonts w:hint="eastAsia" w:ascii="宋体" w:hAnsi="宋体" w:eastAsia="宋体" w:cs="Times New Roman"/>
      <w:b/>
      <w:kern w:val="0"/>
      <w:sz w:val="36"/>
      <w:szCs w:val="36"/>
    </w:rPr>
  </w:style>
  <w:style w:type="character" w:default="1" w:styleId="9">
    <w:name w:val="Default Paragraph Font"/>
    <w:semiHidden/>
    <w:unhideWhenUsed/>
    <w:qFormat/>
    <w:uiPriority w:val="1"/>
  </w:style>
  <w:style w:type="table" w:default="1" w:styleId="11">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2"/>
    <w:basedOn w:val="3"/>
    <w:next w:val="1"/>
    <w:qFormat/>
    <w:uiPriority w:val="0"/>
    <w:pPr>
      <w:ind w:firstLine="420" w:firstLineChars="200"/>
    </w:pPr>
  </w:style>
  <w:style w:type="paragraph" w:styleId="3">
    <w:name w:val="Body Text Indent"/>
    <w:basedOn w:val="1"/>
    <w:next w:val="2"/>
    <w:qFormat/>
    <w:uiPriority w:val="0"/>
    <w:pPr>
      <w:ind w:left="420" w:leftChars="200"/>
    </w:pPr>
    <w:rPr>
      <w:rFonts w:hint="eastAsia"/>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qFormat/>
    <w:uiPriority w:val="0"/>
    <w:pPr>
      <w:spacing w:beforeAutospacing="1" w:afterAutospacing="1"/>
      <w:jc w:val="left"/>
    </w:pPr>
    <w:rPr>
      <w:rFonts w:cs="Times New Roman"/>
      <w:kern w:val="0"/>
      <w:sz w:val="24"/>
    </w:rPr>
  </w:style>
  <w:style w:type="character" w:styleId="10">
    <w:name w:val="page number"/>
    <w:qFormat/>
    <w:uiPriority w:val="0"/>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Company>WORKGROUP</Company>
  <Pages>23</Pages>
  <Words>12294</Words>
  <Characters>12432</Characters>
  <Lines>31</Lines>
  <Paragraphs>8</Paragraphs>
  <TotalTime>5</TotalTime>
  <ScaleCrop>false</ScaleCrop>
  <LinksUpToDate>false</LinksUpToDate>
  <CharactersWithSpaces>12547</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2019-05-05T07:28:00Z</dcterms:created>
  <dc:creator>Administrator</dc:creator>
  <cp:lastModifiedBy>莉小妞</cp:lastModifiedBy>
  <cp:lastPrinted>2020-05-15T08:49:00Z</cp:lastPrinted>
  <dcterms:modified xsi:type="dcterms:W3CDTF">2020-11-03T07:54:04Z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