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hint="eastAsia" w:ascii="方正小标宋简体" w:hAnsi="方正小标宋简体" w:eastAsia="方正小标宋简体" w:cs="方正小标宋简体"/>
          <w:color w:val="000000" w:themeColor="text1"/>
          <w:kern w:val="0"/>
          <w:sz w:val="44"/>
          <w:szCs w:val="44"/>
          <w:lang w:val="en-US" w:eastAsia="zh-CN"/>
          <w14:textFill>
            <w14:solidFill>
              <w14:schemeClr w14:val="tx1"/>
            </w14:solidFill>
          </w14:textFill>
        </w:rPr>
      </w:pPr>
      <w:r>
        <w:rPr>
          <w:rFonts w:hint="eastAsia" w:ascii="方正小标宋简体" w:hAnsi="方正小标宋简体" w:eastAsia="方正小标宋简体" w:cs="方正小标宋简体"/>
          <w:color w:val="000000" w:themeColor="text1"/>
          <w:kern w:val="0"/>
          <w:sz w:val="44"/>
          <w:szCs w:val="44"/>
          <w:lang w:val="en-US" w:eastAsia="zh-CN"/>
          <w14:textFill>
            <w14:solidFill>
              <w14:schemeClr w14:val="tx1"/>
            </w14:solidFill>
          </w14:textFill>
        </w:rPr>
        <w:t>市人民政府办公室</w:t>
      </w:r>
    </w:p>
    <w:p>
      <w:pPr>
        <w:spacing w:line="560" w:lineRule="exact"/>
        <w:jc w:val="center"/>
        <w:rPr>
          <w:rFonts w:hint="eastAsia" w:ascii="方正小标宋简体" w:hAnsi="方正小标宋简体" w:eastAsia="方正小标宋简体" w:cs="方正小标宋简体"/>
          <w:color w:val="000000" w:themeColor="text1"/>
          <w:sz w:val="44"/>
          <w:szCs w:val="44"/>
          <w:shd w:val="clear" w:color="auto" w:fill="FFFFFF"/>
          <w14:textFill>
            <w14:solidFill>
              <w14:schemeClr w14:val="tx1"/>
            </w14:solidFill>
          </w14:textFill>
        </w:rPr>
      </w:pPr>
      <w:r>
        <w:rPr>
          <w:rFonts w:hint="eastAsia" w:ascii="方正小标宋简体" w:hAnsi="方正小标宋简体" w:eastAsia="方正小标宋简体" w:cs="方正小标宋简体"/>
          <w:color w:val="000000" w:themeColor="text1"/>
          <w:sz w:val="44"/>
          <w:szCs w:val="44"/>
          <w:shd w:val="clear" w:color="auto" w:fill="FFFFFF"/>
          <w14:textFill>
            <w14:solidFill>
              <w14:schemeClr w14:val="tx1"/>
            </w14:solidFill>
          </w14:textFill>
        </w:rPr>
        <w:t>关于进一步规范</w:t>
      </w:r>
      <w:r>
        <w:rPr>
          <w:rFonts w:hint="eastAsia" w:ascii="方正小标宋简体" w:hAnsi="方正小标宋简体" w:eastAsia="方正小标宋简体" w:cs="方正小标宋简体"/>
          <w:color w:val="000000" w:themeColor="text1"/>
          <w:kern w:val="0"/>
          <w:sz w:val="44"/>
          <w:szCs w:val="44"/>
          <w14:textFill>
            <w14:solidFill>
              <w14:schemeClr w14:val="tx1"/>
            </w14:solidFill>
          </w14:textFill>
        </w:rPr>
        <w:t>房屋建筑和市政基础设施工程招</w:t>
      </w:r>
      <w:r>
        <w:rPr>
          <w:rFonts w:hint="eastAsia" w:ascii="方正小标宋简体" w:hAnsi="方正小标宋简体" w:eastAsia="方正小标宋简体" w:cs="方正小标宋简体"/>
          <w:color w:val="000000" w:themeColor="text1"/>
          <w:kern w:val="0"/>
          <w:sz w:val="44"/>
          <w:szCs w:val="44"/>
          <w:lang w:val="en-US" w:eastAsia="zh-CN"/>
          <w14:textFill>
            <w14:solidFill>
              <w14:schemeClr w14:val="tx1"/>
            </w14:solidFill>
          </w14:textFill>
        </w:rPr>
        <w:t>标</w:t>
      </w:r>
      <w:r>
        <w:rPr>
          <w:rFonts w:hint="eastAsia" w:ascii="方正小标宋简体" w:hAnsi="方正小标宋简体" w:eastAsia="方正小标宋简体" w:cs="方正小标宋简体"/>
          <w:color w:val="000000" w:themeColor="text1"/>
          <w:kern w:val="0"/>
          <w:sz w:val="44"/>
          <w:szCs w:val="44"/>
          <w14:textFill>
            <w14:solidFill>
              <w14:schemeClr w14:val="tx1"/>
            </w14:solidFill>
          </w14:textFill>
        </w:rPr>
        <w:t>投标</w:t>
      </w:r>
      <w:r>
        <w:rPr>
          <w:rFonts w:hint="eastAsia" w:ascii="方正小标宋简体" w:hAnsi="方正小标宋简体" w:eastAsia="方正小标宋简体" w:cs="方正小标宋简体"/>
          <w:color w:val="000000" w:themeColor="text1"/>
          <w:sz w:val="44"/>
          <w:szCs w:val="44"/>
          <w:shd w:val="clear" w:color="auto" w:fill="FFFFFF"/>
          <w14:textFill>
            <w14:solidFill>
              <w14:schemeClr w14:val="tx1"/>
            </w14:solidFill>
          </w14:textFill>
        </w:rPr>
        <w:t>评定分离工作的通知</w:t>
      </w:r>
    </w:p>
    <w:p>
      <w:pPr>
        <w:spacing w:line="560" w:lineRule="exact"/>
        <w:jc w:val="both"/>
        <w:rPr>
          <w:rFonts w:hint="eastAsia" w:ascii="仿宋_GB2312" w:hAnsi="仿宋_GB2312" w:eastAsia="仿宋_GB2312" w:cs="仿宋_GB2312"/>
          <w:color w:val="000000" w:themeColor="text1"/>
          <w:sz w:val="32"/>
          <w:szCs w:val="32"/>
          <w:shd w:val="clear" w:color="auto" w:fill="FFFFFF"/>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shd w:val="clear" w:color="auto" w:fill="FFFFFF"/>
          <w:lang w:val="en-US" w:eastAsia="zh-CN"/>
          <w14:textFill>
            <w14:solidFill>
              <w14:schemeClr w14:val="tx1"/>
            </w14:solidFill>
          </w14:textFill>
        </w:rPr>
        <w:t>大冶市、阳新县、各区人民政府，黄石经济技术开发区管委会，市政府各有关部门：</w:t>
      </w:r>
    </w:p>
    <w:p>
      <w:pPr>
        <w:keepNext w:val="0"/>
        <w:keepLines w:val="0"/>
        <w:pageBreakBefore w:val="0"/>
        <w:kinsoku/>
        <w:wordWrap/>
        <w:overflowPunct/>
        <w:topLinePunct w:val="0"/>
        <w:autoSpaceDE/>
        <w:autoSpaceDN/>
        <w:bidi w:val="0"/>
        <w:adjustRightInd/>
        <w:snapToGrid/>
        <w:spacing w:line="560" w:lineRule="exact"/>
        <w:ind w:firstLine="640" w:firstLineChars="200"/>
        <w:jc w:val="both"/>
        <w:textAlignment w:val="auto"/>
        <w:outlineLvl w:val="9"/>
        <w:rPr>
          <w:rFonts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为</w:t>
      </w:r>
      <w:r>
        <w:rPr>
          <w:rFonts w:hint="eastAsia" w:ascii="仿宋_GB2312" w:hAnsi="仿宋_GB2312" w:eastAsia="仿宋_GB2312" w:cs="仿宋_GB2312"/>
          <w:color w:val="000000" w:themeColor="text1"/>
          <w:sz w:val="32"/>
          <w:szCs w:val="32"/>
          <w:lang w:eastAsia="zh-CN"/>
          <w14:textFill>
            <w14:solidFill>
              <w14:schemeClr w14:val="tx1"/>
            </w14:solidFill>
          </w14:textFill>
        </w:rPr>
        <w:t>深化“放管服”改革，实现招标投标活动公平、公开、公正和择优的目标，</w:t>
      </w:r>
      <w:r>
        <w:rPr>
          <w:rFonts w:hint="eastAsia" w:ascii="仿宋_GB2312" w:hAnsi="仿宋_GB2312" w:eastAsia="仿宋_GB2312" w:cs="仿宋_GB2312"/>
          <w:color w:val="000000" w:themeColor="text1"/>
          <w:sz w:val="32"/>
          <w:szCs w:val="32"/>
          <w14:textFill>
            <w14:solidFill>
              <w14:schemeClr w14:val="tx1"/>
            </w14:solidFill>
          </w14:textFill>
        </w:rPr>
        <w:t>进一步规范我市</w:t>
      </w:r>
      <w:r>
        <w:rPr>
          <w:rFonts w:hint="eastAsia" w:ascii="仿宋_GB2312" w:hAnsi="仿宋_GB2312" w:eastAsia="仿宋_GB2312" w:cs="仿宋_GB2312"/>
          <w:color w:val="000000" w:themeColor="text1"/>
          <w:kern w:val="0"/>
          <w:sz w:val="32"/>
          <w:szCs w:val="32"/>
          <w14:textFill>
            <w14:solidFill>
              <w14:schemeClr w14:val="tx1"/>
            </w14:solidFill>
          </w14:textFill>
        </w:rPr>
        <w:t>房屋建筑和市政基础设施工程招</w:t>
      </w:r>
      <w:r>
        <w:rPr>
          <w:rFonts w:hint="eastAsia" w:ascii="仿宋_GB2312" w:hAnsi="仿宋_GB2312" w:eastAsia="仿宋_GB2312" w:cs="仿宋_GB2312"/>
          <w:color w:val="000000" w:themeColor="text1"/>
          <w:kern w:val="0"/>
          <w:sz w:val="32"/>
          <w:szCs w:val="32"/>
          <w:lang w:eastAsia="zh-CN"/>
          <w14:textFill>
            <w14:solidFill>
              <w14:schemeClr w14:val="tx1"/>
            </w14:solidFill>
          </w14:textFill>
        </w:rPr>
        <w:t>标</w:t>
      </w:r>
      <w:r>
        <w:rPr>
          <w:rFonts w:hint="eastAsia" w:ascii="仿宋_GB2312" w:hAnsi="仿宋_GB2312" w:eastAsia="仿宋_GB2312" w:cs="仿宋_GB2312"/>
          <w:color w:val="000000" w:themeColor="text1"/>
          <w:kern w:val="0"/>
          <w:sz w:val="32"/>
          <w:szCs w:val="32"/>
          <w14:textFill>
            <w14:solidFill>
              <w14:schemeClr w14:val="tx1"/>
            </w14:solidFill>
          </w14:textFill>
        </w:rPr>
        <w:t>投标</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评定分离工作</w:t>
      </w:r>
      <w:r>
        <w:rPr>
          <w:rFonts w:hint="eastAsia" w:ascii="仿宋_GB2312" w:hAnsi="仿宋_GB2312" w:eastAsia="仿宋_GB2312" w:cs="仿宋_GB2312"/>
          <w:color w:val="000000" w:themeColor="text1"/>
          <w:sz w:val="32"/>
          <w:szCs w:val="32"/>
          <w14:textFill>
            <w14:solidFill>
              <w14:schemeClr w14:val="tx1"/>
            </w14:solidFill>
          </w14:textFill>
        </w:rPr>
        <w:t>，打造公平竞争的招标投标市场环境，根据《</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国务院办公厅转发</w:t>
      </w: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住房城乡建设部关于完善质量保障体系提升建筑工程品质指导意见</w:t>
      </w: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的通知</w:t>
      </w:r>
      <w:r>
        <w:rPr>
          <w:rFonts w:hint="eastAsia" w:ascii="仿宋_GB2312" w:hAnsi="仿宋_GB2312" w:eastAsia="仿宋_GB2312" w:cs="仿宋_GB2312"/>
          <w:color w:val="000000" w:themeColor="text1"/>
          <w:kern w:val="0"/>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（国办函〔2019〕92号</w:t>
      </w: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《湖北省人民政府关于促进全省建筑业发展二十条意见》（鄂政发〔2018〕14号）</w:t>
      </w:r>
      <w:r>
        <w:rPr>
          <w:rFonts w:hint="eastAsia" w:ascii="仿宋_GB2312" w:hAnsi="仿宋_GB2312" w:eastAsia="仿宋_GB2312" w:cs="仿宋_GB2312"/>
          <w:color w:val="000000" w:themeColor="text1"/>
          <w:kern w:val="0"/>
          <w:sz w:val="32"/>
          <w:szCs w:val="32"/>
          <w14:textFill>
            <w14:solidFill>
              <w14:schemeClr w14:val="tx1"/>
            </w14:solidFill>
          </w14:textFill>
        </w:rPr>
        <w:t>等精神，现就</w:t>
      </w:r>
      <w:r>
        <w:rPr>
          <w:rFonts w:hint="eastAsia" w:ascii="仿宋_GB2312" w:hAnsi="仿宋_GB2312" w:eastAsia="仿宋_GB2312" w:cs="仿宋_GB2312"/>
          <w:color w:val="000000" w:themeColor="text1"/>
          <w:sz w:val="32"/>
          <w:szCs w:val="32"/>
          <w14:textFill>
            <w14:solidFill>
              <w14:schemeClr w14:val="tx1"/>
            </w14:solidFill>
          </w14:textFill>
        </w:rPr>
        <w:t>进一步规范我市</w:t>
      </w:r>
      <w:r>
        <w:rPr>
          <w:rFonts w:hint="eastAsia" w:ascii="仿宋_GB2312" w:hAnsi="仿宋_GB2312" w:eastAsia="仿宋_GB2312" w:cs="仿宋_GB2312"/>
          <w:color w:val="000000" w:themeColor="text1"/>
          <w:kern w:val="0"/>
          <w:sz w:val="32"/>
          <w:szCs w:val="32"/>
          <w14:textFill>
            <w14:solidFill>
              <w14:schemeClr w14:val="tx1"/>
            </w14:solidFill>
          </w14:textFill>
        </w:rPr>
        <w:t>房屋建筑和市政基础设施工程</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招标投标评定分离工作有关事项通知如下：</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3"/>
        <w:jc w:val="both"/>
        <w:textAlignment w:val="auto"/>
        <w:outlineLvl w:val="9"/>
        <w:rPr>
          <w:rFonts w:ascii="黑体" w:hAnsi="黑体" w:eastAsia="黑体" w:cs="黑体"/>
          <w:b w:val="0"/>
          <w:bCs/>
          <w:color w:val="000000" w:themeColor="text1"/>
          <w:sz w:val="32"/>
          <w:szCs w:val="32"/>
          <w14:textFill>
            <w14:solidFill>
              <w14:schemeClr w14:val="tx1"/>
            </w14:solidFill>
          </w14:textFill>
        </w:rPr>
      </w:pPr>
      <w:r>
        <w:rPr>
          <w:rStyle w:val="7"/>
          <w:rFonts w:hint="eastAsia" w:ascii="黑体" w:hAnsi="黑体" w:eastAsia="黑体" w:cs="黑体"/>
          <w:b w:val="0"/>
          <w:bCs/>
          <w:color w:val="000000" w:themeColor="text1"/>
          <w:sz w:val="32"/>
          <w:szCs w:val="32"/>
          <w14:textFill>
            <w14:solidFill>
              <w14:schemeClr w14:val="tx1"/>
            </w14:solidFill>
          </w14:textFill>
        </w:rPr>
        <w:t>一、落实招标人主体责任</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left="240" w:right="240" w:firstLine="640" w:firstLineChars="200"/>
        <w:jc w:val="both"/>
        <w:textAlignment w:val="auto"/>
        <w:outlineLvl w:val="9"/>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i w:val="0"/>
          <w:caps w:val="0"/>
          <w:color w:val="000000" w:themeColor="text1"/>
          <w:spacing w:val="0"/>
          <w:sz w:val="32"/>
          <w:szCs w:val="32"/>
          <w:shd w:val="clear" w:fill="FFFFFF"/>
          <w14:textFill>
            <w14:solidFill>
              <w14:schemeClr w14:val="tx1"/>
            </w14:solidFill>
          </w14:textFill>
        </w:rPr>
        <w:t>实行招标人负责制</w:t>
      </w:r>
      <w:r>
        <w:rPr>
          <w:rFonts w:hint="eastAsia" w:ascii="仿宋_GB2312" w:hAnsi="仿宋_GB2312" w:eastAsia="仿宋_GB2312" w:cs="仿宋_GB2312"/>
          <w:i w:val="0"/>
          <w:caps w:val="0"/>
          <w:color w:val="000000" w:themeColor="text1"/>
          <w:spacing w:val="0"/>
          <w:sz w:val="32"/>
          <w:szCs w:val="32"/>
          <w:shd w:val="clear" w:fill="FFFFFF"/>
          <w:lang w:val="en-US"/>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招标人对招标过程和招标结果承担主体责任</w:t>
      </w:r>
      <w:r>
        <w:rPr>
          <w:rFonts w:hint="eastAsia" w:ascii="仿宋_GB2312" w:hAnsi="仿宋_GB2312" w:eastAsia="仿宋_GB2312" w:cs="仿宋_GB2312"/>
          <w:i w:val="0"/>
          <w:caps w:val="0"/>
          <w:color w:val="000000" w:themeColor="text1"/>
          <w:spacing w:val="0"/>
          <w:sz w:val="32"/>
          <w:szCs w:val="32"/>
          <w:shd w:val="clear" w:fill="FFFFFF"/>
          <w:lang w:val="en-US"/>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招标人的法定代表人是招标活动的第一责任人，对招标过程</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和</w:t>
      </w:r>
      <w:r>
        <w:rPr>
          <w:rFonts w:hint="eastAsia" w:ascii="仿宋_GB2312" w:hAnsi="仿宋_GB2312" w:eastAsia="仿宋_GB2312" w:cs="仿宋_GB2312"/>
          <w:color w:val="000000" w:themeColor="text1"/>
          <w:sz w:val="32"/>
          <w:szCs w:val="32"/>
          <w14:textFill>
            <w14:solidFill>
              <w14:schemeClr w14:val="tx1"/>
            </w14:solidFill>
          </w14:textFill>
        </w:rPr>
        <w:t>招标结果承担第一责任人责任。招标人要严格执行招标投标有关法律法规，建立健全</w:t>
      </w:r>
      <w:r>
        <w:rPr>
          <w:rFonts w:hint="eastAsia" w:ascii="仿宋_GB2312" w:hAnsi="仿宋_GB2312" w:eastAsia="仿宋_GB2312" w:cs="仿宋_GB2312"/>
          <w:i w:val="0"/>
          <w:caps w:val="0"/>
          <w:color w:val="000000" w:themeColor="text1"/>
          <w:spacing w:val="0"/>
          <w:sz w:val="32"/>
          <w:szCs w:val="32"/>
          <w14:textFill>
            <w14:solidFill>
              <w14:schemeClr w14:val="tx1"/>
            </w14:solidFill>
          </w14:textFill>
        </w:rPr>
        <w:t>内部程序控制</w:t>
      </w:r>
      <w:r>
        <w:rPr>
          <w:rFonts w:hint="eastAsia" w:ascii="仿宋_GB2312" w:hAnsi="仿宋_GB2312" w:eastAsia="仿宋_GB2312" w:cs="仿宋_GB2312"/>
          <w:i w:val="0"/>
          <w:caps w:val="0"/>
          <w:color w:val="000000" w:themeColor="text1"/>
          <w:spacing w:val="0"/>
          <w:sz w:val="32"/>
          <w:szCs w:val="32"/>
          <w:lang w:eastAsia="zh-CN"/>
          <w14:textFill>
            <w14:solidFill>
              <w14:schemeClr w14:val="tx1"/>
            </w14:solidFill>
          </w14:textFill>
        </w:rPr>
        <w:t>、</w:t>
      </w:r>
      <w:r>
        <w:rPr>
          <w:rFonts w:hint="eastAsia" w:ascii="仿宋_GB2312" w:hAnsi="仿宋_GB2312" w:eastAsia="仿宋_GB2312" w:cs="仿宋_GB2312"/>
          <w:i w:val="0"/>
          <w:caps w:val="0"/>
          <w:color w:val="000000" w:themeColor="text1"/>
          <w:spacing w:val="0"/>
          <w:sz w:val="32"/>
          <w:szCs w:val="32"/>
          <w14:textFill>
            <w14:solidFill>
              <w14:schemeClr w14:val="tx1"/>
            </w14:solidFill>
          </w14:textFill>
        </w:rPr>
        <w:t>决策约束</w:t>
      </w:r>
      <w:r>
        <w:rPr>
          <w:rFonts w:hint="eastAsia" w:ascii="仿宋_GB2312" w:hAnsi="仿宋_GB2312" w:eastAsia="仿宋_GB2312" w:cs="仿宋_GB2312"/>
          <w:color w:val="000000" w:themeColor="text1"/>
          <w:sz w:val="32"/>
          <w:szCs w:val="32"/>
          <w14:textFill>
            <w14:solidFill>
              <w14:schemeClr w14:val="tx1"/>
            </w14:solidFill>
          </w14:textFill>
        </w:rPr>
        <w:t>和廉政风险防控机制，加强对招标公告、资格预审文件、招标文件、评标、定标等招标</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投</w:t>
      </w:r>
      <w:r>
        <w:rPr>
          <w:rFonts w:hint="eastAsia" w:ascii="仿宋_GB2312" w:hAnsi="仿宋_GB2312" w:eastAsia="仿宋_GB2312" w:cs="仿宋_GB2312"/>
          <w:color w:val="000000" w:themeColor="text1"/>
          <w:sz w:val="32"/>
          <w:szCs w:val="32"/>
          <w14:textFill>
            <w14:solidFill>
              <w14:schemeClr w14:val="tx1"/>
            </w14:solidFill>
          </w14:textFill>
        </w:rPr>
        <w:t>标事项的审查管理，加强对派出的评标、定标代表的管理，加强对委托的招标代理机构的管理。</w:t>
      </w:r>
    </w:p>
    <w:p>
      <w:pPr>
        <w:pStyle w:val="4"/>
        <w:keepNext w:val="0"/>
        <w:keepLines w:val="0"/>
        <w:pageBreakBefore w:val="0"/>
        <w:widowControl/>
        <w:numPr>
          <w:ilvl w:val="0"/>
          <w:numId w:val="1"/>
        </w:numPr>
        <w:kinsoku/>
        <w:wordWrap/>
        <w:overflowPunct/>
        <w:topLinePunct w:val="0"/>
        <w:autoSpaceDE/>
        <w:autoSpaceDN/>
        <w:bidi w:val="0"/>
        <w:adjustRightInd/>
        <w:snapToGrid/>
        <w:spacing w:beforeAutospacing="0" w:afterAutospacing="0" w:line="560" w:lineRule="exact"/>
        <w:ind w:left="878" w:leftChars="418" w:right="240"/>
        <w:jc w:val="both"/>
        <w:textAlignment w:val="auto"/>
        <w:outlineLvl w:val="9"/>
        <w:rPr>
          <w:rFonts w:ascii="黑体" w:hAnsi="黑体" w:eastAsia="黑体" w:cs="黑体"/>
          <w:b w:val="0"/>
          <w:bCs w:val="0"/>
          <w:color w:val="000000" w:themeColor="text1"/>
          <w:sz w:val="32"/>
          <w:szCs w:val="32"/>
          <w14:textFill>
            <w14:solidFill>
              <w14:schemeClr w14:val="tx1"/>
            </w14:solidFill>
          </w14:textFill>
        </w:rPr>
      </w:pPr>
      <w:r>
        <w:rPr>
          <w:rFonts w:hint="eastAsia" w:ascii="黑体" w:hAnsi="黑体" w:eastAsia="黑体" w:cs="黑体"/>
          <w:b w:val="0"/>
          <w:bCs w:val="0"/>
          <w:color w:val="000000" w:themeColor="text1"/>
          <w:sz w:val="32"/>
          <w:szCs w:val="32"/>
          <w:lang w:eastAsia="zh-CN"/>
          <w14:textFill>
            <w14:solidFill>
              <w14:schemeClr w14:val="tx1"/>
            </w14:solidFill>
          </w14:textFill>
        </w:rPr>
        <w:t>规范</w:t>
      </w:r>
      <w:r>
        <w:rPr>
          <w:rFonts w:hint="eastAsia" w:ascii="黑体" w:hAnsi="黑体" w:eastAsia="黑体" w:cs="黑体"/>
          <w:b w:val="0"/>
          <w:bCs w:val="0"/>
          <w:color w:val="000000" w:themeColor="text1"/>
          <w:sz w:val="32"/>
          <w:szCs w:val="32"/>
          <w14:textFill>
            <w14:solidFill>
              <w14:schemeClr w14:val="tx1"/>
            </w14:solidFill>
          </w14:textFill>
        </w:rPr>
        <w:t>招</w:t>
      </w:r>
      <w:r>
        <w:rPr>
          <w:rFonts w:hint="eastAsia" w:ascii="黑体" w:hAnsi="黑体" w:eastAsia="黑体" w:cs="黑体"/>
          <w:b w:val="0"/>
          <w:bCs w:val="0"/>
          <w:color w:val="000000" w:themeColor="text1"/>
          <w:sz w:val="32"/>
          <w:szCs w:val="32"/>
          <w:lang w:eastAsia="zh-CN"/>
          <w14:textFill>
            <w14:solidFill>
              <w14:schemeClr w14:val="tx1"/>
            </w14:solidFill>
          </w14:textFill>
        </w:rPr>
        <w:t>标</w:t>
      </w:r>
      <w:r>
        <w:rPr>
          <w:rFonts w:hint="eastAsia" w:ascii="黑体" w:hAnsi="黑体" w:eastAsia="黑体" w:cs="黑体"/>
          <w:b w:val="0"/>
          <w:bCs w:val="0"/>
          <w:color w:val="000000" w:themeColor="text1"/>
          <w:sz w:val="32"/>
          <w:szCs w:val="32"/>
          <w14:textFill>
            <w14:solidFill>
              <w14:schemeClr w14:val="tx1"/>
            </w14:solidFill>
          </w14:textFill>
        </w:rPr>
        <w:t>投标关键环节</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right="240" w:firstLine="642" w:firstLineChars="200"/>
        <w:jc w:val="both"/>
        <w:textAlignment w:val="auto"/>
        <w:outlineLvl w:val="9"/>
        <w:rPr>
          <w:rStyle w:val="7"/>
          <w:rFonts w:hint="eastAsia" w:ascii="仿宋_GB2312" w:hAnsi="仿宋_GB2312" w:eastAsia="仿宋_GB2312" w:cs="仿宋_GB2312"/>
          <w:b w:val="0"/>
          <w:color w:val="000000" w:themeColor="text1"/>
          <w:sz w:val="32"/>
          <w:szCs w:val="32"/>
          <w:lang w:eastAsia="zh-CN"/>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（一）</w:t>
      </w:r>
      <w:r>
        <w:rPr>
          <w:rStyle w:val="7"/>
          <w:rFonts w:hint="eastAsia" w:ascii="仿宋_GB2312" w:hAnsi="仿宋_GB2312" w:eastAsia="仿宋_GB2312" w:cs="仿宋_GB2312"/>
          <w:bCs/>
          <w:color w:val="000000" w:themeColor="text1"/>
          <w:sz w:val="32"/>
          <w:szCs w:val="32"/>
          <w14:textFill>
            <w14:solidFill>
              <w14:schemeClr w14:val="tx1"/>
            </w14:solidFill>
          </w14:textFill>
        </w:rPr>
        <w:t>规范招标文件编制管理。</w:t>
      </w:r>
      <w:r>
        <w:rPr>
          <w:rFonts w:hint="eastAsia" w:ascii="仿宋_GB2312" w:hAnsi="仿宋_GB2312" w:eastAsia="仿宋_GB2312" w:cs="仿宋_GB2312"/>
          <w:color w:val="000000" w:themeColor="text1"/>
          <w:sz w:val="32"/>
          <w:szCs w:val="32"/>
          <w14:textFill>
            <w14:solidFill>
              <w14:schemeClr w14:val="tx1"/>
            </w14:solidFill>
          </w14:textFill>
        </w:rPr>
        <w:t>招标人应严格招标文件</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和</w:t>
      </w:r>
      <w:r>
        <w:rPr>
          <w:rFonts w:hint="eastAsia" w:ascii="仿宋_GB2312" w:hAnsi="仿宋_GB2312" w:eastAsia="仿宋_GB2312" w:cs="仿宋_GB2312"/>
          <w:color w:val="000000" w:themeColor="text1"/>
          <w:sz w:val="32"/>
          <w:szCs w:val="32"/>
          <w14:textFill>
            <w14:solidFill>
              <w14:schemeClr w14:val="tx1"/>
            </w14:solidFill>
          </w14:textFill>
        </w:rPr>
        <w:t>资格</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预审文件（以下简称</w:t>
      </w:r>
      <w:r>
        <w:rPr>
          <w:rFonts w:hint="eastAsia" w:ascii="仿宋_GB2312" w:hAnsi="仿宋_GB2312" w:eastAsia="仿宋_GB2312" w:cs="仿宋_GB2312"/>
          <w:color w:val="000000" w:themeColor="text1"/>
          <w:sz w:val="32"/>
          <w:szCs w:val="32"/>
          <w14:textFill>
            <w14:solidFill>
              <w14:schemeClr w14:val="tx1"/>
            </w14:solidFill>
          </w14:textFill>
        </w:rPr>
        <w:t>招标文件</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编制及审查工作，对招标文件的合理性、合法性和编制质量负总责。应按照</w:t>
      </w:r>
      <w:r>
        <w:rPr>
          <w:rFonts w:hint="eastAsia" w:ascii="仿宋_GB2312" w:hAnsi="仿宋_GB2312" w:eastAsia="仿宋_GB2312" w:cs="仿宋_GB2312"/>
          <w:color w:val="000000" w:themeColor="text1"/>
          <w:sz w:val="32"/>
          <w:szCs w:val="32"/>
          <w:lang w:eastAsia="zh-CN"/>
          <w14:textFill>
            <w14:solidFill>
              <w14:schemeClr w14:val="tx1"/>
            </w14:solidFill>
          </w14:textFill>
        </w:rPr>
        <w:t>国家</w:t>
      </w:r>
      <w:r>
        <w:rPr>
          <w:rFonts w:hint="eastAsia" w:ascii="仿宋_GB2312" w:hAnsi="仿宋_GB2312" w:eastAsia="仿宋_GB2312" w:cs="仿宋_GB2312"/>
          <w:color w:val="000000" w:themeColor="text1"/>
          <w:sz w:val="32"/>
          <w:szCs w:val="32"/>
          <w14:textFill>
            <w14:solidFill>
              <w14:schemeClr w14:val="tx1"/>
            </w14:solidFill>
          </w14:textFill>
        </w:rPr>
        <w:t>招标文件</w:t>
      </w:r>
      <w:r>
        <w:rPr>
          <w:rFonts w:hint="eastAsia" w:ascii="仿宋_GB2312" w:hAnsi="仿宋_GB2312" w:eastAsia="仿宋_GB2312" w:cs="仿宋_GB2312"/>
          <w:color w:val="000000" w:themeColor="text1"/>
          <w:sz w:val="32"/>
          <w:szCs w:val="32"/>
          <w:lang w:eastAsia="zh-CN"/>
          <w14:textFill>
            <w14:solidFill>
              <w14:schemeClr w14:val="tx1"/>
            </w14:solidFill>
          </w14:textFill>
        </w:rPr>
        <w:t>标准文本和湖北省、黄石市招标文件</w:t>
      </w:r>
      <w:r>
        <w:rPr>
          <w:rFonts w:hint="eastAsia" w:ascii="仿宋_GB2312" w:hAnsi="仿宋_GB2312" w:eastAsia="仿宋_GB2312" w:cs="仿宋_GB2312"/>
          <w:color w:val="000000" w:themeColor="text1"/>
          <w:sz w:val="32"/>
          <w:szCs w:val="32"/>
          <w14:textFill>
            <w14:solidFill>
              <w14:schemeClr w14:val="tx1"/>
            </w14:solidFill>
          </w14:textFill>
        </w:rPr>
        <w:t>范本结合项目实际编制招标文件，对招标文件进行全面审核把关，</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招标人发布的招标公告</w:t>
      </w:r>
      <w:r>
        <w:rPr>
          <w:rFonts w:hint="eastAsia" w:ascii="仿宋_GB2312" w:hAnsi="仿宋_GB2312" w:eastAsia="仿宋_GB2312" w:cs="仿宋_GB2312"/>
          <w:color w:val="000000" w:themeColor="text1"/>
          <w:sz w:val="32"/>
          <w:szCs w:val="32"/>
          <w:shd w:val="clear" w:color="auto" w:fill="FFFFFF"/>
          <w:lang w:eastAsia="zh-CN"/>
          <w14:textFill>
            <w14:solidFill>
              <w14:schemeClr w14:val="tx1"/>
            </w14:solidFill>
          </w14:textFill>
        </w:rPr>
        <w:t>和编制的</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招标文件的资格要求、评分条款、废标条款等内容违反招</w:t>
      </w:r>
      <w:r>
        <w:rPr>
          <w:rFonts w:hint="eastAsia" w:ascii="仿宋_GB2312" w:hAnsi="仿宋_GB2312" w:eastAsia="仿宋_GB2312" w:cs="仿宋_GB2312"/>
          <w:color w:val="000000" w:themeColor="text1"/>
          <w:sz w:val="32"/>
          <w:szCs w:val="32"/>
          <w:shd w:val="clear" w:color="auto" w:fill="FFFFFF"/>
          <w:lang w:eastAsia="zh-CN"/>
          <w14:textFill>
            <w14:solidFill>
              <w14:schemeClr w14:val="tx1"/>
            </w14:solidFill>
          </w14:textFill>
        </w:rPr>
        <w:t>标</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投标相关规定及原则的，应当承担主体责任。</w:t>
      </w:r>
      <w:r>
        <w:rPr>
          <w:rFonts w:hint="eastAsia" w:ascii="仿宋_GB2312" w:hAnsi="仿宋_GB2312" w:eastAsia="仿宋_GB2312" w:cs="仿宋_GB2312"/>
          <w:color w:val="000000" w:themeColor="text1"/>
          <w:sz w:val="32"/>
          <w:szCs w:val="32"/>
          <w:shd w:val="clear" w:color="auto" w:fill="FFFFFF"/>
          <w:lang w:eastAsia="zh-CN"/>
          <w14:textFill>
            <w14:solidFill>
              <w14:schemeClr w14:val="tx1"/>
            </w14:solidFill>
          </w14:textFill>
        </w:rPr>
        <w:t>招标人以不合理的条件限制或者排斥潜在投标人的，对潜在投标人实行歧视待遇的，强制要求投标人组成联合体共同投标的，或者限制投标人之间竞争的，有关招标投标监管部门要依法履行监管职责，依法纠正查处违法违规行为。</w:t>
      </w:r>
    </w:p>
    <w:p>
      <w:pPr>
        <w:pStyle w:val="4"/>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60" w:lineRule="exact"/>
        <w:ind w:firstLine="642" w:firstLineChars="200"/>
        <w:jc w:val="both"/>
        <w:textAlignment w:val="auto"/>
        <w:outlineLvl w:val="9"/>
        <w:rPr>
          <w:rFonts w:hint="eastAsia" w:ascii="仿宋_GB2312" w:hAnsi="仿宋_GB2312" w:eastAsia="仿宋_GB2312" w:cs="仿宋_GB2312"/>
          <w:color w:val="000000" w:themeColor="text1"/>
          <w:sz w:val="32"/>
          <w:szCs w:val="32"/>
          <w:shd w:val="clear" w:color="auto" w:fill="FFFFFF"/>
          <w:lang w:eastAsia="zh-CN"/>
          <w14:textFill>
            <w14:solidFill>
              <w14:schemeClr w14:val="tx1"/>
            </w14:solidFill>
          </w14:textFill>
        </w:rPr>
      </w:pPr>
      <w:r>
        <w:rPr>
          <w:rFonts w:hint="eastAsia" w:ascii="仿宋_GB2312" w:hAnsi="仿宋_GB2312" w:eastAsia="仿宋_GB2312" w:cs="仿宋_GB2312"/>
          <w:b/>
          <w:bCs/>
          <w:color w:val="000000" w:themeColor="text1"/>
          <w:sz w:val="32"/>
          <w:szCs w:val="32"/>
          <w:shd w:val="clear" w:color="auto" w:fill="FFFFFF"/>
          <w14:textFill>
            <w14:solidFill>
              <w14:schemeClr w14:val="tx1"/>
            </w14:solidFill>
          </w14:textFill>
        </w:rPr>
        <w:t>(二)规范对投标人的资格条件设置及审查。</w:t>
      </w:r>
      <w:r>
        <w:rPr>
          <w:rFonts w:hint="eastAsia" w:ascii="仿宋_GB2312" w:hAnsi="仿宋_GB2312" w:eastAsia="仿宋_GB2312" w:cs="仿宋_GB2312"/>
          <w:color w:val="000000" w:themeColor="text1"/>
          <w:sz w:val="32"/>
          <w:szCs w:val="32"/>
          <w14:textFill>
            <w14:solidFill>
              <w14:schemeClr w14:val="tx1"/>
            </w14:solidFill>
          </w14:textFill>
        </w:rPr>
        <w:t>招标人</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应严格按有关规定确定投标人资格要求，并对投标人业绩、信用及不良行为进行审查，不得</w:t>
      </w:r>
      <w:r>
        <w:rPr>
          <w:rFonts w:hint="eastAsia" w:ascii="仿宋_GB2312" w:hAnsi="仿宋_GB2312" w:eastAsia="仿宋_GB2312" w:cs="仿宋_GB2312"/>
          <w:color w:val="000000" w:themeColor="text1"/>
          <w:sz w:val="32"/>
          <w:szCs w:val="32"/>
          <w14:textFill>
            <w14:solidFill>
              <w14:schemeClr w14:val="tx1"/>
            </w14:solidFill>
          </w14:textFill>
        </w:rPr>
        <w:t>违法限定潜在投标人或者投标人的所有制形式或者组织形式</w:t>
      </w:r>
      <w:r>
        <w:rPr>
          <w:rFonts w:hint="eastAsia" w:ascii="仿宋_GB2312" w:hAnsi="仿宋_GB2312" w:eastAsia="仿宋_GB2312" w:cs="仿宋_GB2312"/>
          <w:color w:val="000000" w:themeColor="text1"/>
          <w:sz w:val="32"/>
          <w:szCs w:val="32"/>
          <w:lang w:eastAsia="zh-CN"/>
          <w14:textFill>
            <w14:solidFill>
              <w14:schemeClr w14:val="tx1"/>
            </w14:solidFill>
          </w14:textFill>
        </w:rPr>
        <w:t>；不得</w:t>
      </w:r>
      <w:r>
        <w:rPr>
          <w:rFonts w:hint="eastAsia" w:ascii="仿宋_GB2312" w:hAnsi="仿宋_GB2312" w:eastAsia="仿宋_GB2312" w:cs="仿宋_GB2312"/>
          <w:color w:val="000000" w:themeColor="text1"/>
          <w:sz w:val="32"/>
          <w:szCs w:val="32"/>
          <w14:textFill>
            <w14:solidFill>
              <w14:schemeClr w14:val="tx1"/>
            </w14:solidFill>
          </w14:textFill>
        </w:rPr>
        <w:t>对不同所有制投标人采取不同的资格审查标准；</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不得</w:t>
      </w:r>
      <w:r>
        <w:rPr>
          <w:rFonts w:hint="eastAsia" w:ascii="仿宋_GB2312" w:hAnsi="仿宋_GB2312" w:eastAsia="仿宋_GB2312" w:cs="仿宋_GB2312"/>
          <w:color w:val="000000" w:themeColor="text1"/>
          <w:sz w:val="32"/>
          <w:szCs w:val="32"/>
          <w14:textFill>
            <w14:solidFill>
              <w14:schemeClr w14:val="tx1"/>
            </w14:solidFill>
          </w14:textFill>
        </w:rPr>
        <w:t>设定企业股东背景、年平均承接项目数量或者金额、从业人员、纳税额、营业场所面积等规模条件；</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不得设置</w:t>
      </w:r>
      <w:r>
        <w:rPr>
          <w:rFonts w:hint="eastAsia" w:ascii="仿宋_GB2312" w:hAnsi="仿宋_GB2312" w:eastAsia="仿宋_GB2312" w:cs="仿宋_GB2312"/>
          <w:color w:val="000000" w:themeColor="text1"/>
          <w:sz w:val="32"/>
          <w:szCs w:val="32"/>
          <w14:textFill>
            <w14:solidFill>
              <w14:schemeClr w14:val="tx1"/>
            </w14:solidFill>
          </w14:textFill>
        </w:rPr>
        <w:t>超过项目实际需要的企业注册资本、资产总额、净资产规模、营业收入、利润、授信额度等财务指标；</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不得</w:t>
      </w:r>
      <w:r>
        <w:rPr>
          <w:rFonts w:hint="eastAsia" w:ascii="仿宋_GB2312" w:hAnsi="仿宋_GB2312" w:eastAsia="仿宋_GB2312" w:cs="仿宋_GB2312"/>
          <w:color w:val="000000" w:themeColor="text1"/>
          <w:sz w:val="32"/>
          <w:szCs w:val="32"/>
          <w14:textFill>
            <w14:solidFill>
              <w14:schemeClr w14:val="tx1"/>
            </w14:solidFill>
          </w14:textFill>
        </w:rPr>
        <w:t>设定明显超出招标项目具体特点和实际需要的过高的资质资格、技术、商务条件或者业绩、奖项要求；</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不得</w:t>
      </w:r>
      <w:r>
        <w:rPr>
          <w:rFonts w:hint="eastAsia" w:ascii="仿宋_GB2312" w:hAnsi="仿宋_GB2312" w:eastAsia="仿宋_GB2312" w:cs="仿宋_GB2312"/>
          <w:color w:val="000000" w:themeColor="text1"/>
          <w:sz w:val="32"/>
          <w:szCs w:val="32"/>
          <w14:textFill>
            <w14:solidFill>
              <w14:schemeClr w14:val="tx1"/>
            </w14:solidFill>
          </w14:textFill>
        </w:rPr>
        <w:t>违法设置限制、排斥潜在投标人的规定，以及</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带有倾向性、歧视性的条款和不合理的评分细则</w:t>
      </w:r>
      <w:r>
        <w:rPr>
          <w:rFonts w:hint="eastAsia" w:ascii="仿宋_GB2312" w:hAnsi="仿宋_GB2312" w:eastAsia="仿宋_GB2312" w:cs="仿宋_GB2312"/>
          <w:color w:val="000000" w:themeColor="text1"/>
          <w:sz w:val="32"/>
          <w:szCs w:val="32"/>
          <w:shd w:val="clear" w:color="auto" w:fill="FFFFFF"/>
          <w:lang w:eastAsia="zh-CN"/>
          <w14:textFill>
            <w14:solidFill>
              <w14:schemeClr w14:val="tx1"/>
            </w14:solidFill>
          </w14:textFill>
        </w:rPr>
        <w:t>；</w:t>
      </w:r>
      <w:r>
        <w:rPr>
          <w:rFonts w:hint="eastAsia" w:ascii="仿宋_GB2312" w:hAnsi="仿宋_GB2312" w:eastAsia="仿宋_GB2312" w:cs="仿宋_GB2312"/>
          <w:color w:val="000000" w:themeColor="text1"/>
          <w:sz w:val="32"/>
          <w:szCs w:val="32"/>
          <w:shd w:val="clear" w:color="auto" w:fill="FFFFFF"/>
          <w:lang w:val="en-US" w:eastAsia="zh-CN"/>
          <w14:textFill>
            <w14:solidFill>
              <w14:schemeClr w14:val="tx1"/>
            </w14:solidFill>
          </w14:textFill>
        </w:rPr>
        <w:t>不得</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采用抽签、摇号等方式直接确定中标候选人。</w:t>
      </w:r>
      <w:r>
        <w:rPr>
          <w:rFonts w:hint="eastAsia" w:ascii="仿宋_GB2312" w:hAnsi="仿宋_GB2312" w:eastAsia="仿宋_GB2312" w:cs="仿宋_GB2312"/>
          <w:color w:val="000000" w:themeColor="text1"/>
          <w:sz w:val="32"/>
          <w:szCs w:val="32"/>
          <w:shd w:val="clear" w:color="auto" w:fill="FFFFFF"/>
          <w:lang w:eastAsia="zh-CN"/>
          <w14:textFill>
            <w14:solidFill>
              <w14:schemeClr w14:val="tx1"/>
            </w14:solidFill>
          </w14:textFill>
        </w:rPr>
        <w:t>对项目招标公告、投标邀请书、资格预审公告、资格预审文件、招标文件设置限制、排斥潜在投标人或者投标人内容的违法违规行为，有关招标投标监管部门要依法纠正查处，维护公平竞争市场秩序。</w:t>
      </w:r>
    </w:p>
    <w:p>
      <w:pPr>
        <w:pStyle w:val="4"/>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60" w:lineRule="exact"/>
        <w:ind w:firstLine="642" w:firstLineChars="200"/>
        <w:jc w:val="both"/>
        <w:textAlignment w:val="auto"/>
        <w:outlineLvl w:val="9"/>
        <w:rPr>
          <w:rFonts w:hint="eastAsia" w:ascii="仿宋_GB2312" w:hAnsi="仿宋_GB2312" w:eastAsia="仿宋_GB2312" w:cs="仿宋_GB2312"/>
          <w:color w:val="000000" w:themeColor="text1"/>
          <w:sz w:val="32"/>
          <w:szCs w:val="32"/>
          <w:shd w:val="clear" w:color="auto" w:fill="FFFFFF"/>
          <w:lang w:eastAsia="zh-CN"/>
          <w14:textFill>
            <w14:solidFill>
              <w14:schemeClr w14:val="tx1"/>
            </w14:solidFill>
          </w14:textFill>
        </w:rPr>
      </w:pPr>
      <w:r>
        <w:rPr>
          <w:rFonts w:hint="eastAsia" w:ascii="仿宋_GB2312" w:hAnsi="仿宋_GB2312" w:eastAsia="仿宋_GB2312" w:cs="仿宋_GB2312"/>
          <w:b/>
          <w:bCs/>
          <w:color w:val="000000" w:themeColor="text1"/>
          <w:sz w:val="32"/>
          <w:szCs w:val="32"/>
          <w:shd w:val="clear" w:color="auto" w:fill="FFFFFF"/>
          <w14:textFill>
            <w14:solidFill>
              <w14:schemeClr w14:val="tx1"/>
            </w14:solidFill>
          </w14:textFill>
        </w:rPr>
        <w:t>（三）</w:t>
      </w:r>
      <w:r>
        <w:rPr>
          <w:rStyle w:val="7"/>
          <w:rFonts w:hint="eastAsia" w:ascii="仿宋_GB2312" w:hAnsi="仿宋_GB2312" w:eastAsia="仿宋_GB2312" w:cs="仿宋_GB2312"/>
          <w:bCs/>
          <w:color w:val="000000" w:themeColor="text1"/>
          <w:sz w:val="32"/>
          <w:szCs w:val="32"/>
          <w14:textFill>
            <w14:solidFill>
              <w14:schemeClr w14:val="tx1"/>
            </w14:solidFill>
          </w14:textFill>
        </w:rPr>
        <w:t>规范</w:t>
      </w:r>
      <w:r>
        <w:rPr>
          <w:rFonts w:hint="eastAsia" w:ascii="仿宋_GB2312" w:hAnsi="仿宋_GB2312" w:eastAsia="仿宋_GB2312" w:cs="仿宋_GB2312"/>
          <w:b/>
          <w:bCs/>
          <w:color w:val="000000" w:themeColor="text1"/>
          <w:sz w:val="32"/>
          <w:szCs w:val="32"/>
          <w14:textFill>
            <w14:solidFill>
              <w14:schemeClr w14:val="tx1"/>
            </w14:solidFill>
          </w14:textFill>
        </w:rPr>
        <w:t>异议受理和答复。</w:t>
      </w:r>
      <w:r>
        <w:rPr>
          <w:rFonts w:hint="eastAsia" w:ascii="仿宋_GB2312" w:hAnsi="仿宋_GB2312" w:eastAsia="仿宋_GB2312" w:cs="仿宋_GB2312"/>
          <w:color w:val="000000" w:themeColor="text1"/>
          <w:sz w:val="32"/>
          <w:szCs w:val="32"/>
          <w14:textFill>
            <w14:solidFill>
              <w14:schemeClr w14:val="tx1"/>
            </w14:solidFill>
          </w14:textFill>
        </w:rPr>
        <w:t>招标人</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应按规定程序受理投标人异议，并</w:t>
      </w:r>
      <w:r>
        <w:rPr>
          <w:rFonts w:hint="eastAsia" w:ascii="仿宋_GB2312" w:hAnsi="仿宋_GB2312" w:eastAsia="仿宋_GB2312" w:cs="仿宋_GB2312"/>
          <w:color w:val="000000" w:themeColor="text1"/>
          <w:sz w:val="32"/>
          <w:szCs w:val="32"/>
          <w14:textFill>
            <w14:solidFill>
              <w14:schemeClr w14:val="tx1"/>
            </w14:solidFill>
          </w14:textFill>
        </w:rPr>
        <w:t>及时对投标人提出的异议进行针对性、实质性答复，不得违规拒收投标人异议或</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采用</w:t>
      </w:r>
      <w:r>
        <w:rPr>
          <w:rFonts w:hint="eastAsia" w:ascii="仿宋_GB2312" w:hAnsi="仿宋_GB2312" w:eastAsia="仿宋_GB2312" w:cs="仿宋_GB2312"/>
          <w:color w:val="000000" w:themeColor="text1"/>
          <w:sz w:val="32"/>
          <w:szCs w:val="32"/>
          <w14:textFill>
            <w14:solidFill>
              <w14:schemeClr w14:val="tx1"/>
            </w14:solidFill>
          </w14:textFill>
        </w:rPr>
        <w:t>不明确、不具体的方式进行答复。</w:t>
      </w:r>
      <w:r>
        <w:rPr>
          <w:rFonts w:hint="eastAsia" w:ascii="仿宋_GB2312" w:hAnsi="仿宋_GB2312" w:eastAsia="仿宋_GB2312" w:cs="仿宋_GB2312"/>
          <w:color w:val="000000" w:themeColor="text1"/>
          <w:sz w:val="32"/>
          <w:szCs w:val="32"/>
          <w:lang w:eastAsia="zh-CN"/>
          <w14:textFill>
            <w14:solidFill>
              <w14:schemeClr w14:val="tx1"/>
            </w14:solidFill>
          </w14:textFill>
        </w:rPr>
        <w:t>对招标人不按规定受理和答复异议的，有关招标投标监管部门要依法依规进行严肃处理。</w:t>
      </w:r>
    </w:p>
    <w:p>
      <w:pPr>
        <w:pStyle w:val="4"/>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60" w:lineRule="exact"/>
        <w:ind w:firstLine="640" w:firstLineChars="200"/>
        <w:jc w:val="both"/>
        <w:textAlignment w:val="auto"/>
        <w:outlineLvl w:val="9"/>
        <w:rPr>
          <w:rFonts w:hint="eastAsia" w:ascii="黑体" w:hAnsi="黑体" w:eastAsia="黑体" w:cs="黑体"/>
          <w:color w:val="000000" w:themeColor="text1"/>
          <w:sz w:val="32"/>
          <w:szCs w:val="32"/>
          <w:shd w:val="clear" w:color="auto" w:fill="FFFFFF"/>
          <w:lang w:eastAsia="zh-CN"/>
          <w14:textFill>
            <w14:solidFill>
              <w14:schemeClr w14:val="tx1"/>
            </w14:solidFill>
          </w14:textFill>
        </w:rPr>
      </w:pPr>
      <w:r>
        <w:rPr>
          <w:rFonts w:hint="eastAsia" w:ascii="黑体" w:hAnsi="黑体" w:eastAsia="黑体" w:cs="黑体"/>
          <w:color w:val="000000" w:themeColor="text1"/>
          <w:sz w:val="32"/>
          <w:szCs w:val="32"/>
          <w:shd w:val="clear" w:color="auto" w:fill="FFFFFF"/>
          <w14:textFill>
            <w14:solidFill>
              <w14:schemeClr w14:val="tx1"/>
            </w14:solidFill>
          </w14:textFill>
        </w:rPr>
        <w:t>三、</w:t>
      </w:r>
      <w:r>
        <w:rPr>
          <w:rFonts w:hint="eastAsia" w:ascii="黑体" w:hAnsi="黑体" w:eastAsia="黑体" w:cs="黑体"/>
          <w:color w:val="000000" w:themeColor="text1"/>
          <w:sz w:val="32"/>
          <w:szCs w:val="32"/>
          <w14:textFill>
            <w14:solidFill>
              <w14:schemeClr w14:val="tx1"/>
            </w14:solidFill>
          </w14:textFill>
        </w:rPr>
        <w:t>完善</w:t>
      </w:r>
      <w:r>
        <w:rPr>
          <w:rStyle w:val="7"/>
          <w:rFonts w:hint="eastAsia" w:ascii="黑体" w:hAnsi="黑体" w:eastAsia="黑体" w:cs="黑体"/>
          <w:b w:val="0"/>
          <w:color w:val="000000" w:themeColor="text1"/>
          <w:sz w:val="32"/>
          <w:szCs w:val="32"/>
          <w14:textFill>
            <w14:solidFill>
              <w14:schemeClr w14:val="tx1"/>
            </w14:solidFill>
          </w14:textFill>
        </w:rPr>
        <w:t>定标</w:t>
      </w:r>
      <w:r>
        <w:rPr>
          <w:rStyle w:val="7"/>
          <w:rFonts w:hint="eastAsia" w:ascii="黑体" w:hAnsi="黑体" w:eastAsia="黑体" w:cs="黑体"/>
          <w:b w:val="0"/>
          <w:color w:val="000000" w:themeColor="text1"/>
          <w:sz w:val="32"/>
          <w:szCs w:val="32"/>
          <w:lang w:eastAsia="zh-CN"/>
          <w14:textFill>
            <w14:solidFill>
              <w14:schemeClr w14:val="tx1"/>
            </w14:solidFill>
          </w14:textFill>
        </w:rPr>
        <w:t>规则</w:t>
      </w:r>
      <w:r>
        <w:rPr>
          <w:rFonts w:hint="eastAsia" w:ascii="黑体" w:hAnsi="黑体" w:eastAsia="黑体" w:cs="黑体"/>
          <w:color w:val="000000" w:themeColor="text1"/>
          <w:sz w:val="32"/>
          <w:szCs w:val="32"/>
          <w:shd w:val="clear" w:color="auto" w:fill="FFFFFF"/>
          <w:lang w:eastAsia="zh-CN"/>
          <w14:textFill>
            <w14:solidFill>
              <w14:schemeClr w14:val="tx1"/>
            </w14:solidFill>
          </w14:textFill>
        </w:rPr>
        <w:t>程序</w:t>
      </w:r>
    </w:p>
    <w:p>
      <w:pPr>
        <w:pStyle w:val="4"/>
        <w:keepNext w:val="0"/>
        <w:keepLines w:val="0"/>
        <w:pageBreakBefore w:val="0"/>
        <w:widowControl/>
        <w:numPr>
          <w:ilvl w:val="0"/>
          <w:numId w:val="2"/>
        </w:numPr>
        <w:kinsoku/>
        <w:wordWrap/>
        <w:overflowPunct/>
        <w:topLinePunct w:val="0"/>
        <w:autoSpaceDE/>
        <w:autoSpaceDN/>
        <w:bidi w:val="0"/>
        <w:adjustRightInd/>
        <w:snapToGrid/>
        <w:spacing w:beforeAutospacing="0" w:afterAutospacing="0" w:line="560" w:lineRule="exact"/>
        <w:ind w:right="240" w:firstLine="642" w:firstLineChars="200"/>
        <w:jc w:val="both"/>
        <w:textAlignment w:val="auto"/>
        <w:outlineLvl w:val="9"/>
        <w:rPr>
          <w:rFonts w:ascii="仿宋_GB2312" w:hAnsi="仿宋_GB2312" w:eastAsia="仿宋_GB2312" w:cs="仿宋_GB2312"/>
          <w:color w:val="000000" w:themeColor="text1"/>
          <w:sz w:val="32"/>
          <w:szCs w:val="32"/>
          <w14:textFill>
            <w14:solidFill>
              <w14:schemeClr w14:val="tx1"/>
            </w14:solidFill>
          </w14:textFill>
        </w:rPr>
      </w:pPr>
      <w:r>
        <w:rPr>
          <w:rStyle w:val="7"/>
          <w:rFonts w:hint="eastAsia" w:ascii="仿宋_GB2312" w:hAnsi="仿宋_GB2312" w:eastAsia="仿宋_GB2312" w:cs="仿宋_GB2312"/>
          <w:color w:val="000000" w:themeColor="text1"/>
          <w:sz w:val="32"/>
          <w:szCs w:val="32"/>
          <w14:textFill>
            <w14:solidFill>
              <w14:schemeClr w14:val="tx1"/>
            </w14:solidFill>
          </w14:textFill>
        </w:rPr>
        <w:t>鼓励招标人清标考察。</w:t>
      </w:r>
      <w:r>
        <w:rPr>
          <w:rFonts w:hint="eastAsia" w:ascii="仿宋_GB2312" w:hAnsi="仿宋_GB2312" w:eastAsia="仿宋_GB2312" w:cs="仿宋_GB2312"/>
          <w:bCs/>
          <w:color w:val="000000" w:themeColor="text1"/>
          <w:sz w:val="32"/>
          <w:szCs w:val="32"/>
          <w:shd w:val="clear" w:color="auto" w:fill="FFFFFF"/>
          <w:lang w:val="en-US" w:eastAsia="zh-CN"/>
          <w14:textFill>
            <w14:solidFill>
              <w14:schemeClr w14:val="tx1"/>
            </w14:solidFill>
          </w14:textFill>
        </w:rPr>
        <w:t>在</w:t>
      </w:r>
      <w:r>
        <w:rPr>
          <w:rFonts w:hint="eastAsia" w:ascii="仿宋_GB2312" w:hAnsi="仿宋_GB2312" w:eastAsia="仿宋_GB2312" w:cs="仿宋_GB2312"/>
          <w:bCs/>
          <w:color w:val="000000" w:themeColor="text1"/>
          <w:sz w:val="32"/>
          <w:szCs w:val="32"/>
          <w:shd w:val="clear" w:color="auto" w:fill="FFFFFF"/>
          <w14:textFill>
            <w14:solidFill>
              <w14:schemeClr w14:val="tx1"/>
            </w14:solidFill>
          </w14:textFill>
        </w:rPr>
        <w:t>定标前，</w:t>
      </w:r>
      <w:r>
        <w:rPr>
          <w:rFonts w:hint="eastAsia" w:ascii="仿宋_GB2312" w:hAnsi="仿宋_GB2312" w:eastAsia="仿宋_GB2312" w:cs="仿宋_GB2312"/>
          <w:color w:val="000000" w:themeColor="text1"/>
          <w:sz w:val="32"/>
          <w:szCs w:val="32"/>
          <w14:textFill>
            <w14:solidFill>
              <w14:schemeClr w14:val="tx1"/>
            </w14:solidFill>
          </w14:textFill>
        </w:rPr>
        <w:t>招标人可以</w:t>
      </w:r>
      <w:r>
        <w:rPr>
          <w:rStyle w:val="7"/>
          <w:rFonts w:hint="eastAsia" w:ascii="仿宋_GB2312" w:hAnsi="仿宋_GB2312" w:eastAsia="仿宋_GB2312" w:cs="仿宋_GB2312"/>
          <w:b w:val="0"/>
          <w:color w:val="000000" w:themeColor="text1"/>
          <w:sz w:val="32"/>
          <w:szCs w:val="32"/>
          <w14:textFill>
            <w14:solidFill>
              <w14:schemeClr w14:val="tx1"/>
            </w14:solidFill>
          </w14:textFill>
        </w:rPr>
        <w:t>对</w:t>
      </w:r>
      <w:r>
        <w:rPr>
          <w:rFonts w:hint="eastAsia" w:ascii="仿宋_GB2312" w:hAnsi="仿宋_GB2312" w:eastAsia="仿宋_GB2312" w:cs="仿宋_GB2312"/>
          <w:color w:val="000000" w:themeColor="text1"/>
          <w:sz w:val="32"/>
          <w:szCs w:val="32"/>
          <w14:textFill>
            <w14:solidFill>
              <w14:schemeClr w14:val="tx1"/>
            </w14:solidFill>
          </w14:textFill>
        </w:rPr>
        <w:t>定标候选人的投标文件或者服务方案</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等</w:t>
      </w:r>
      <w:r>
        <w:rPr>
          <w:rFonts w:hint="eastAsia" w:ascii="仿宋_GB2312" w:hAnsi="仿宋_GB2312" w:eastAsia="仿宋_GB2312" w:cs="仿宋_GB2312"/>
          <w:color w:val="000000" w:themeColor="text1"/>
          <w:sz w:val="32"/>
          <w:szCs w:val="32"/>
          <w14:textFill>
            <w14:solidFill>
              <w14:schemeClr w14:val="tx1"/>
            </w14:solidFill>
          </w14:textFill>
        </w:rPr>
        <w:t>进行清标，并出具清标报告</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由清标人员签字确认</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招标人也可以组织对进入定标环节的</w:t>
      </w:r>
      <w:r>
        <w:rPr>
          <w:rFonts w:hint="eastAsia" w:ascii="仿宋_GB2312" w:hAnsi="仿宋_GB2312" w:eastAsia="仿宋_GB2312" w:cs="仿宋_GB2312"/>
          <w:color w:val="000000" w:themeColor="text1"/>
          <w:sz w:val="32"/>
          <w:szCs w:val="32"/>
          <w:lang w:eastAsia="zh-CN"/>
          <w14:textFill>
            <w14:solidFill>
              <w14:schemeClr w14:val="tx1"/>
            </w14:solidFill>
          </w14:textFill>
        </w:rPr>
        <w:t>定标候选人</w:t>
      </w:r>
      <w:r>
        <w:rPr>
          <w:rFonts w:hint="eastAsia" w:ascii="仿宋_GB2312" w:hAnsi="仿宋_GB2312" w:eastAsia="仿宋_GB2312" w:cs="仿宋_GB2312"/>
          <w:color w:val="000000" w:themeColor="text1"/>
          <w:sz w:val="32"/>
          <w:szCs w:val="32"/>
          <w14:textFill>
            <w14:solidFill>
              <w14:schemeClr w14:val="tx1"/>
            </w14:solidFill>
          </w14:textFill>
        </w:rPr>
        <w:t>进行考察、质询，但不得与定标候选人就投标价格、投标方案等实质性内容进行谈判，考察、质询要形成书面报告，由考察、质询人员签字确认</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清标</w:t>
      </w:r>
      <w:r>
        <w:rPr>
          <w:rFonts w:hint="eastAsia" w:ascii="仿宋_GB2312" w:hAnsi="仿宋_GB2312" w:eastAsia="仿宋_GB2312" w:cs="仿宋_GB2312"/>
          <w:color w:val="000000" w:themeColor="text1"/>
          <w:sz w:val="32"/>
          <w:szCs w:val="32"/>
          <w:lang w:eastAsia="zh-CN"/>
          <w14:textFill>
            <w14:solidFill>
              <w14:schemeClr w14:val="tx1"/>
            </w14:solidFill>
          </w14:textFill>
        </w:rPr>
        <w:t>和考察</w:t>
      </w:r>
      <w:r>
        <w:rPr>
          <w:rFonts w:hint="eastAsia" w:ascii="仿宋_GB2312" w:hAnsi="仿宋_GB2312" w:eastAsia="仿宋_GB2312" w:cs="仿宋_GB2312"/>
          <w:color w:val="000000" w:themeColor="text1"/>
          <w:sz w:val="32"/>
          <w:szCs w:val="32"/>
          <w14:textFill>
            <w14:solidFill>
              <w14:schemeClr w14:val="tx1"/>
            </w14:solidFill>
          </w14:textFill>
        </w:rPr>
        <w:t>书面报告中只能陈述客观事实，不得有任何明示或者暗示倾向中标</w:t>
      </w:r>
      <w:r>
        <w:rPr>
          <w:rFonts w:hint="eastAsia" w:ascii="仿宋_GB2312" w:hAnsi="仿宋_GB2312" w:eastAsia="仿宋_GB2312" w:cs="仿宋_GB2312"/>
          <w:color w:val="000000" w:themeColor="text1"/>
          <w:sz w:val="32"/>
          <w:szCs w:val="32"/>
          <w:lang w:eastAsia="zh-CN"/>
          <w14:textFill>
            <w14:solidFill>
              <w14:schemeClr w14:val="tx1"/>
            </w14:solidFill>
          </w14:textFill>
        </w:rPr>
        <w:t>单位</w:t>
      </w:r>
      <w:r>
        <w:rPr>
          <w:rFonts w:hint="eastAsia" w:ascii="仿宋_GB2312" w:hAnsi="仿宋_GB2312" w:eastAsia="仿宋_GB2312" w:cs="仿宋_GB2312"/>
          <w:color w:val="000000" w:themeColor="text1"/>
          <w:sz w:val="32"/>
          <w:szCs w:val="32"/>
          <w14:textFill>
            <w14:solidFill>
              <w14:schemeClr w14:val="tx1"/>
            </w14:solidFill>
          </w14:textFill>
        </w:rPr>
        <w:t>的内容。</w:t>
      </w:r>
      <w:r>
        <w:rPr>
          <w:rFonts w:hint="eastAsia" w:ascii="仿宋_GB2312" w:hAnsi="仿宋_GB2312" w:eastAsia="仿宋_GB2312" w:cs="仿宋_GB2312"/>
          <w:color w:val="000000" w:themeColor="text1"/>
          <w:sz w:val="32"/>
          <w:szCs w:val="32"/>
          <w:lang w:eastAsia="zh-CN"/>
          <w14:textFill>
            <w14:solidFill>
              <w14:schemeClr w14:val="tx1"/>
            </w14:solidFill>
          </w14:textFill>
        </w:rPr>
        <w:t>清标和考察、质询的书面报告可以</w:t>
      </w:r>
      <w:r>
        <w:rPr>
          <w:rFonts w:hint="eastAsia" w:ascii="仿宋_GB2312" w:hAnsi="仿宋_GB2312" w:eastAsia="仿宋_GB2312" w:cs="仿宋_GB2312"/>
          <w:color w:val="000000" w:themeColor="text1"/>
          <w:sz w:val="32"/>
          <w:szCs w:val="32"/>
          <w14:textFill>
            <w14:solidFill>
              <w14:schemeClr w14:val="tx1"/>
            </w14:solidFill>
          </w14:textFill>
        </w:rPr>
        <w:t>作为定标的参考依据</w:t>
      </w:r>
      <w:r>
        <w:rPr>
          <w:rFonts w:hint="eastAsia" w:ascii="仿宋_GB2312" w:hAnsi="仿宋_GB2312" w:eastAsia="仿宋_GB2312" w:cs="仿宋_GB2312"/>
          <w:color w:val="000000" w:themeColor="text1"/>
          <w:sz w:val="32"/>
          <w:szCs w:val="32"/>
          <w:lang w:eastAsia="zh-CN"/>
          <w14:textFill>
            <w14:solidFill>
              <w14:schemeClr w14:val="tx1"/>
            </w14:solidFill>
          </w14:textFill>
        </w:rPr>
        <w:t>。清标、考察、质询方式和时间应在招标文件中明确。</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right="240" w:firstLine="642" w:firstLineChars="200"/>
        <w:jc w:val="both"/>
        <w:textAlignment w:val="auto"/>
        <w:outlineLvl w:val="9"/>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Style w:val="7"/>
          <w:rFonts w:hint="eastAsia" w:ascii="仿宋_GB2312" w:hAnsi="仿宋_GB2312" w:eastAsia="仿宋_GB2312" w:cs="仿宋_GB2312"/>
          <w:color w:val="000000" w:themeColor="text1"/>
          <w:sz w:val="32"/>
          <w:szCs w:val="32"/>
          <w14:textFill>
            <w14:solidFill>
              <w14:schemeClr w14:val="tx1"/>
            </w14:solidFill>
          </w14:textFill>
        </w:rPr>
        <w:t>（二）明确</w:t>
      </w:r>
      <w:r>
        <w:rPr>
          <w:rFonts w:hint="eastAsia" w:ascii="仿宋_GB2312" w:hAnsi="仿宋_GB2312" w:eastAsia="仿宋_GB2312" w:cs="仿宋_GB2312"/>
          <w:b/>
          <w:bCs/>
          <w:color w:val="000000" w:themeColor="text1"/>
          <w:sz w:val="32"/>
          <w:szCs w:val="32"/>
          <w14:textFill>
            <w14:solidFill>
              <w14:schemeClr w14:val="tx1"/>
            </w14:solidFill>
          </w14:textFill>
        </w:rPr>
        <w:t>定标要素。</w:t>
      </w:r>
      <w:r>
        <w:rPr>
          <w:rFonts w:hint="eastAsia" w:ascii="仿宋_GB2312" w:hAnsi="仿宋_GB2312" w:eastAsia="仿宋_GB2312" w:cs="仿宋_GB2312"/>
          <w:color w:val="000000" w:themeColor="text1"/>
          <w:sz w:val="32"/>
          <w:szCs w:val="32"/>
          <w14:textFill>
            <w14:solidFill>
              <w14:schemeClr w14:val="tx1"/>
            </w14:solidFill>
          </w14:textFill>
        </w:rPr>
        <w:t>工程项目的施工、货物、服务招标的定标要素各有侧重。招标人可根据招标项目具体特点和实际需要</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确定与项目相匹配</w:t>
      </w:r>
      <w:r>
        <w:rPr>
          <w:rFonts w:hint="eastAsia" w:ascii="仿宋_GB2312" w:hAnsi="仿宋_GB2312" w:eastAsia="仿宋_GB2312" w:cs="仿宋_GB2312"/>
          <w:color w:val="000000" w:themeColor="text1"/>
          <w:sz w:val="32"/>
          <w:szCs w:val="32"/>
          <w14:textFill>
            <w14:solidFill>
              <w14:schemeClr w14:val="tx1"/>
            </w14:solidFill>
          </w14:textFill>
        </w:rPr>
        <w:t>的定标要素。</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招标人在编制招标文件时，</w:t>
      </w:r>
      <w:r>
        <w:rPr>
          <w:rFonts w:hint="eastAsia" w:ascii="仿宋_GB2312" w:hAnsi="仿宋_GB2312" w:eastAsia="仿宋_GB2312" w:cs="仿宋_GB2312"/>
          <w:color w:val="000000" w:themeColor="text1"/>
          <w:sz w:val="32"/>
          <w:szCs w:val="32"/>
          <w:lang w:eastAsia="zh-CN"/>
          <w14:textFill>
            <w14:solidFill>
              <w14:schemeClr w14:val="tx1"/>
            </w14:solidFill>
          </w14:textFill>
        </w:rPr>
        <w:t>可以参考下列</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定标</w:t>
      </w:r>
      <w:r>
        <w:rPr>
          <w:rFonts w:hint="eastAsia" w:ascii="仿宋_GB2312" w:hAnsi="仿宋_GB2312" w:eastAsia="仿宋_GB2312" w:cs="仿宋_GB2312"/>
          <w:color w:val="000000" w:themeColor="text1"/>
          <w:sz w:val="32"/>
          <w:szCs w:val="32"/>
          <w:lang w:eastAsia="zh-CN"/>
          <w14:textFill>
            <w14:solidFill>
              <w14:schemeClr w14:val="tx1"/>
            </w14:solidFill>
          </w14:textFill>
        </w:rPr>
        <w:t>要素：</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right="240" w:firstLine="642" w:firstLineChars="200"/>
        <w:jc w:val="both"/>
        <w:textAlignment w:val="auto"/>
        <w:outlineLvl w:val="9"/>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1.施工项目的定标要素。</w:t>
      </w:r>
      <w:r>
        <w:rPr>
          <w:rFonts w:hint="eastAsia" w:ascii="仿宋_GB2312" w:hAnsi="仿宋_GB2312" w:eastAsia="仿宋_GB2312" w:cs="仿宋_GB2312"/>
          <w:color w:val="000000" w:themeColor="text1"/>
          <w:sz w:val="32"/>
          <w:szCs w:val="32"/>
          <w14:textFill>
            <w14:solidFill>
              <w14:schemeClr w14:val="tx1"/>
            </w14:solidFill>
          </w14:textFill>
        </w:rPr>
        <w:t>综合考虑企业资质等级、行业影响力</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排名（如有的）</w:t>
      </w:r>
      <w:r>
        <w:rPr>
          <w:rFonts w:hint="eastAsia" w:ascii="仿宋_GB2312" w:hAnsi="仿宋_GB2312" w:eastAsia="仿宋_GB2312" w:cs="仿宋_GB2312"/>
          <w:color w:val="000000" w:themeColor="text1"/>
          <w:sz w:val="32"/>
          <w:szCs w:val="32"/>
          <w14:textFill>
            <w14:solidFill>
              <w14:schemeClr w14:val="tx1"/>
            </w14:solidFill>
          </w14:textFill>
        </w:rPr>
        <w:t>、财务状况、类似项目业绩经验、企业信用、违法行为处罚记录和其他失信记录、本次投标技术方案优缺点、拟投入本项目的负责人及专业技术人员、主要机械设备</w:t>
      </w:r>
      <w:r>
        <w:rPr>
          <w:rFonts w:hint="eastAsia" w:ascii="仿宋_GB2312" w:hAnsi="仿宋_GB2312" w:eastAsia="仿宋_GB2312" w:cs="仿宋_GB2312"/>
          <w:color w:val="000000" w:themeColor="text1"/>
          <w:sz w:val="32"/>
          <w:szCs w:val="32"/>
          <w:lang w:eastAsia="zh-CN"/>
          <w14:textFill>
            <w14:solidFill>
              <w14:schemeClr w14:val="tx1"/>
            </w14:solidFill>
          </w14:textFill>
        </w:rPr>
        <w:t>、科技创新、 节约能源资源、 生态环保</w:t>
      </w:r>
      <w:r>
        <w:rPr>
          <w:rFonts w:hint="eastAsia" w:ascii="仿宋_GB2312" w:hAnsi="仿宋_GB2312" w:eastAsia="仿宋_GB2312" w:cs="仿宋_GB2312"/>
          <w:color w:val="000000" w:themeColor="text1"/>
          <w:sz w:val="32"/>
          <w:szCs w:val="32"/>
          <w14:textFill>
            <w14:solidFill>
              <w14:schemeClr w14:val="tx1"/>
            </w14:solidFill>
          </w14:textFill>
        </w:rPr>
        <w:t>等，以及投标报价和价格组成分析。在考量定标候选人的企业综合实力、信誉，拟派项目管理团队经验与能力时</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充分考虑定标候选人的投标报价</w:t>
      </w:r>
      <w:r>
        <w:rPr>
          <w:rFonts w:hint="eastAsia" w:ascii="仿宋_GB2312" w:hAnsi="仿宋_GB2312" w:eastAsia="仿宋_GB2312" w:cs="仿宋_GB2312"/>
          <w:color w:val="000000" w:themeColor="text1"/>
          <w:sz w:val="32"/>
          <w:szCs w:val="32"/>
          <w:lang w:eastAsia="zh-CN"/>
          <w14:textFill>
            <w14:solidFill>
              <w14:schemeClr w14:val="tx1"/>
            </w14:solidFill>
          </w14:textFill>
        </w:rPr>
        <w:t>等</w:t>
      </w:r>
      <w:r>
        <w:rPr>
          <w:rFonts w:hint="eastAsia" w:ascii="仿宋_GB2312" w:hAnsi="仿宋_GB2312" w:eastAsia="仿宋_GB2312" w:cs="仿宋_GB2312"/>
          <w:color w:val="000000" w:themeColor="text1"/>
          <w:sz w:val="32"/>
          <w:szCs w:val="32"/>
          <w14:textFill>
            <w14:solidFill>
              <w14:schemeClr w14:val="tx1"/>
            </w14:solidFill>
          </w14:textFill>
        </w:rPr>
        <w:t>。</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right="240" w:firstLine="642" w:firstLineChars="200"/>
        <w:jc w:val="both"/>
        <w:textAlignment w:val="auto"/>
        <w:outlineLvl w:val="9"/>
        <w:rPr>
          <w:rFonts w:hint="eastAsia" w:ascii="仿宋_GB2312" w:hAnsi="仿宋_GB2312" w:eastAsia="仿宋_GB2312" w:cs="仿宋_GB2312"/>
          <w:color w:val="000000" w:themeColor="text1"/>
          <w:sz w:val="32"/>
          <w:szCs w:val="32"/>
          <w14:textFill>
            <w14:solidFill>
              <w14:schemeClr w14:val="tx1"/>
            </w14:solidFill>
          </w14:textFill>
        </w:rPr>
      </w:pPr>
      <w:r>
        <w:rPr>
          <w:rStyle w:val="7"/>
          <w:rFonts w:hint="eastAsia" w:ascii="仿宋_GB2312" w:hAnsi="仿宋_GB2312" w:eastAsia="仿宋_GB2312" w:cs="仿宋_GB2312"/>
          <w:color w:val="000000" w:themeColor="text1"/>
          <w:sz w:val="32"/>
          <w:szCs w:val="32"/>
          <w14:textFill>
            <w14:solidFill>
              <w14:schemeClr w14:val="tx1"/>
            </w14:solidFill>
          </w14:textFill>
        </w:rPr>
        <w:t>2.服务项目的定标要素。</w:t>
      </w:r>
      <w:r>
        <w:rPr>
          <w:rFonts w:hint="eastAsia" w:ascii="仿宋_GB2312" w:hAnsi="仿宋_GB2312" w:eastAsia="仿宋_GB2312" w:cs="仿宋_GB2312"/>
          <w:color w:val="000000" w:themeColor="text1"/>
          <w:sz w:val="32"/>
          <w:szCs w:val="32"/>
          <w14:textFill>
            <w14:solidFill>
              <w14:schemeClr w14:val="tx1"/>
            </w14:solidFill>
          </w14:textFill>
        </w:rPr>
        <w:t>综合考虑企业资质等级、行业影响力</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排名（如有的）</w:t>
      </w:r>
      <w:r>
        <w:rPr>
          <w:rFonts w:hint="eastAsia" w:ascii="仿宋_GB2312" w:hAnsi="仿宋_GB2312" w:eastAsia="仿宋_GB2312" w:cs="仿宋_GB2312"/>
          <w:color w:val="000000" w:themeColor="text1"/>
          <w:sz w:val="32"/>
          <w:szCs w:val="32"/>
          <w14:textFill>
            <w14:solidFill>
              <w14:schemeClr w14:val="tx1"/>
            </w14:solidFill>
          </w14:textFill>
        </w:rPr>
        <w:t>、类似项目业绩经验、企业信用、违法行为处罚记录和其他失信记录、本次投标服务方案优缺点、拟投入本项目的负责人及专业技术人员、拟派项目管理团队经验与能力</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主要保障措施</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科技创新、 节约能源资源、生态环保以及投标报价等。</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right="240" w:firstLine="642" w:firstLineChars="200"/>
        <w:jc w:val="both"/>
        <w:textAlignment w:val="auto"/>
        <w:outlineLvl w:val="9"/>
        <w:rPr>
          <w:rFonts w:ascii="仿宋_GB2312" w:hAnsi="仿宋_GB2312" w:eastAsia="仿宋_GB2312" w:cs="仿宋_GB2312"/>
          <w:color w:val="000000" w:themeColor="text1"/>
          <w:sz w:val="32"/>
          <w:szCs w:val="32"/>
          <w14:textFill>
            <w14:solidFill>
              <w14:schemeClr w14:val="tx1"/>
            </w14:solidFill>
          </w14:textFill>
        </w:rPr>
      </w:pPr>
      <w:r>
        <w:rPr>
          <w:rStyle w:val="7"/>
          <w:rFonts w:hint="eastAsia" w:ascii="仿宋_GB2312" w:hAnsi="仿宋_GB2312" w:eastAsia="仿宋_GB2312" w:cs="仿宋_GB2312"/>
          <w:color w:val="000000" w:themeColor="text1"/>
          <w:sz w:val="32"/>
          <w:szCs w:val="32"/>
          <w14:textFill>
            <w14:solidFill>
              <w14:schemeClr w14:val="tx1"/>
            </w14:solidFill>
          </w14:textFill>
        </w:rPr>
        <w:t>3.货物项目的定标要素。</w:t>
      </w:r>
      <w:r>
        <w:rPr>
          <w:rFonts w:hint="eastAsia" w:ascii="仿宋_GB2312" w:hAnsi="仿宋_GB2312" w:eastAsia="仿宋_GB2312" w:cs="仿宋_GB2312"/>
          <w:color w:val="000000" w:themeColor="text1"/>
          <w:sz w:val="32"/>
          <w:szCs w:val="32"/>
          <w14:textFill>
            <w14:solidFill>
              <w14:schemeClr w14:val="tx1"/>
            </w14:solidFill>
          </w14:textFill>
        </w:rPr>
        <w:t>综合考虑企业资质等级、行业影响力</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排名（如有的）</w:t>
      </w:r>
      <w:r>
        <w:rPr>
          <w:rFonts w:hint="eastAsia" w:ascii="仿宋_GB2312" w:hAnsi="仿宋_GB2312" w:eastAsia="仿宋_GB2312" w:cs="仿宋_GB2312"/>
          <w:color w:val="000000" w:themeColor="text1"/>
          <w:sz w:val="32"/>
          <w:szCs w:val="32"/>
          <w14:textFill>
            <w14:solidFill>
              <w14:schemeClr w14:val="tx1"/>
            </w14:solidFill>
          </w14:textFill>
        </w:rPr>
        <w:t>、产品知名度</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（如有的）</w:t>
      </w:r>
      <w:r>
        <w:rPr>
          <w:rFonts w:hint="eastAsia" w:ascii="仿宋_GB2312" w:hAnsi="仿宋_GB2312" w:eastAsia="仿宋_GB2312" w:cs="仿宋_GB2312"/>
          <w:color w:val="000000" w:themeColor="text1"/>
          <w:sz w:val="32"/>
          <w:szCs w:val="32"/>
          <w14:textFill>
            <w14:solidFill>
              <w14:schemeClr w14:val="tx1"/>
            </w14:solidFill>
          </w14:textFill>
        </w:rPr>
        <w:t>、类似项目业绩经验、企业信用、违法行为处罚记录和其他失信记录、拟投入本项目的人员、设备，技术参数指标、质保期和售后服务</w:t>
      </w:r>
      <w:r>
        <w:rPr>
          <w:rFonts w:hint="eastAsia" w:ascii="仿宋_GB2312" w:hAnsi="仿宋_GB2312" w:eastAsia="仿宋_GB2312" w:cs="仿宋_GB2312"/>
          <w:color w:val="000000" w:themeColor="text1"/>
          <w:sz w:val="32"/>
          <w:szCs w:val="32"/>
          <w:lang w:eastAsia="zh-CN"/>
          <w14:textFill>
            <w14:solidFill>
              <w14:schemeClr w14:val="tx1"/>
            </w14:solidFill>
          </w14:textFill>
        </w:rPr>
        <w:t>、科技创新、 节约能源资源、 生态环保</w:t>
      </w:r>
      <w:r>
        <w:rPr>
          <w:rFonts w:hint="eastAsia" w:ascii="仿宋_GB2312" w:hAnsi="仿宋_GB2312" w:eastAsia="仿宋_GB2312" w:cs="仿宋_GB2312"/>
          <w:color w:val="000000" w:themeColor="text1"/>
          <w:sz w:val="32"/>
          <w:szCs w:val="32"/>
          <w14:textFill>
            <w14:solidFill>
              <w14:schemeClr w14:val="tx1"/>
            </w14:solidFill>
          </w14:textFill>
        </w:rPr>
        <w:t>以及投标报价等。</w:t>
      </w:r>
    </w:p>
    <w:p>
      <w:pPr>
        <w:pStyle w:val="4"/>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60" w:lineRule="exact"/>
        <w:ind w:firstLine="640" w:firstLineChars="200"/>
        <w:jc w:val="both"/>
        <w:textAlignment w:val="auto"/>
        <w:outlineLvl w:val="9"/>
        <w:rPr>
          <w:rFonts w:ascii="黑体" w:hAnsi="黑体" w:eastAsia="黑体" w:cs="黑体"/>
          <w:b w:val="0"/>
          <w:bCs/>
          <w:color w:val="000000" w:themeColor="text1"/>
          <w:sz w:val="32"/>
          <w:szCs w:val="32"/>
          <w14:textFill>
            <w14:solidFill>
              <w14:schemeClr w14:val="tx1"/>
            </w14:solidFill>
          </w14:textFill>
        </w:rPr>
      </w:pPr>
      <w:r>
        <w:rPr>
          <w:rFonts w:hint="eastAsia" w:ascii="黑体" w:hAnsi="黑体" w:cs="黑体"/>
          <w:b w:val="0"/>
          <w:bCs/>
          <w:color w:val="000000" w:themeColor="text1"/>
          <w:sz w:val="32"/>
          <w:szCs w:val="32"/>
          <w:shd w:val="clear" w:color="auto" w:fill="FFFFFF"/>
          <w:lang w:val="en-US" w:eastAsia="zh-CN"/>
          <w14:textFill>
            <w14:solidFill>
              <w14:schemeClr w14:val="tx1"/>
            </w14:solidFill>
          </w14:textFill>
        </w:rPr>
        <w:t>四</w:t>
      </w:r>
      <w:r>
        <w:rPr>
          <w:rFonts w:hint="eastAsia" w:ascii="黑体" w:hAnsi="黑体" w:eastAsia="黑体" w:cs="黑体"/>
          <w:b w:val="0"/>
          <w:bCs/>
          <w:color w:val="000000" w:themeColor="text1"/>
          <w:sz w:val="32"/>
          <w:szCs w:val="32"/>
          <w:shd w:val="clear" w:color="auto" w:fill="FFFFFF"/>
          <w14:textFill>
            <w14:solidFill>
              <w14:schemeClr w14:val="tx1"/>
            </w14:solidFill>
          </w14:textFill>
        </w:rPr>
        <w:t>、加强</w:t>
      </w:r>
      <w:r>
        <w:rPr>
          <w:rStyle w:val="7"/>
          <w:rFonts w:hint="eastAsia" w:ascii="黑体" w:hAnsi="黑体" w:eastAsia="黑体" w:cs="黑体"/>
          <w:b w:val="0"/>
          <w:bCs/>
          <w:color w:val="000000" w:themeColor="text1"/>
          <w:sz w:val="32"/>
          <w:szCs w:val="32"/>
          <w14:textFill>
            <w14:solidFill>
              <w14:schemeClr w14:val="tx1"/>
            </w14:solidFill>
          </w14:textFill>
        </w:rPr>
        <w:t>定标</w:t>
      </w:r>
      <w:r>
        <w:rPr>
          <w:rFonts w:hint="eastAsia" w:ascii="黑体" w:hAnsi="黑体" w:eastAsia="黑体" w:cs="黑体"/>
          <w:b w:val="0"/>
          <w:bCs/>
          <w:color w:val="000000" w:themeColor="text1"/>
          <w:sz w:val="32"/>
          <w:szCs w:val="32"/>
          <w:shd w:val="clear" w:color="auto" w:fill="FFFFFF"/>
          <w14:textFill>
            <w14:solidFill>
              <w14:schemeClr w14:val="tx1"/>
            </w14:solidFill>
          </w14:textFill>
        </w:rPr>
        <w:t>监督管理</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right="240" w:firstLine="642" w:firstLineChars="200"/>
        <w:jc w:val="both"/>
        <w:textAlignment w:val="auto"/>
        <w:outlineLvl w:val="9"/>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b/>
          <w:bCs/>
          <w:color w:val="000000" w:themeColor="text1"/>
          <w:sz w:val="32"/>
          <w:szCs w:val="32"/>
          <w:shd w:val="clear" w:color="auto" w:fill="FFFFFF"/>
          <w14:textFill>
            <w14:solidFill>
              <w14:schemeClr w14:val="tx1"/>
            </w14:solidFill>
          </w14:textFill>
        </w:rPr>
        <w:t>（一）</w:t>
      </w:r>
      <w:r>
        <w:rPr>
          <w:rFonts w:hint="eastAsia" w:ascii="仿宋_GB2312" w:hAnsi="仿宋_GB2312" w:eastAsia="仿宋_GB2312" w:cs="仿宋_GB2312"/>
          <w:b/>
          <w:bCs/>
          <w:color w:val="000000" w:themeColor="text1"/>
          <w:sz w:val="32"/>
          <w:szCs w:val="32"/>
          <w:shd w:val="clear" w:color="auto" w:fill="FFFFFF"/>
          <w:lang w:val="en-US" w:eastAsia="zh-CN"/>
          <w14:textFill>
            <w14:solidFill>
              <w14:schemeClr w14:val="tx1"/>
            </w14:solidFill>
          </w14:textFill>
        </w:rPr>
        <w:t>规范</w:t>
      </w:r>
      <w:r>
        <w:rPr>
          <w:rFonts w:hint="eastAsia" w:ascii="仿宋_GB2312" w:hAnsi="仿宋_GB2312" w:eastAsia="仿宋_GB2312" w:cs="仿宋_GB2312"/>
          <w:b/>
          <w:bCs/>
          <w:color w:val="000000" w:themeColor="text1"/>
          <w:sz w:val="32"/>
          <w:szCs w:val="32"/>
          <w:shd w:val="clear" w:color="auto" w:fill="FFFFFF"/>
          <w14:textFill>
            <w14:solidFill>
              <w14:schemeClr w14:val="tx1"/>
            </w14:solidFill>
          </w14:textFill>
        </w:rPr>
        <w:t>招标人自主定标。</w:t>
      </w:r>
      <w:r>
        <w:rPr>
          <w:rFonts w:hint="eastAsia" w:ascii="仿宋_GB2312" w:hAnsi="仿宋_GB2312" w:eastAsia="仿宋_GB2312" w:cs="仿宋_GB2312"/>
          <w:color w:val="000000" w:themeColor="text1"/>
          <w:sz w:val="32"/>
          <w:szCs w:val="32"/>
          <w14:textFill>
            <w14:solidFill>
              <w14:schemeClr w14:val="tx1"/>
            </w14:solidFill>
          </w14:textFill>
        </w:rPr>
        <w:t>招标人</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应</w:t>
      </w:r>
      <w:r>
        <w:rPr>
          <w:rFonts w:hint="eastAsia" w:ascii="仿宋_GB2312" w:hAnsi="仿宋_GB2312" w:eastAsia="仿宋_GB2312" w:cs="仿宋_GB2312"/>
          <w:bCs/>
          <w:color w:val="000000" w:themeColor="text1"/>
          <w:sz w:val="32"/>
          <w:szCs w:val="32"/>
          <w:shd w:val="clear" w:color="auto" w:fill="FFFFFF"/>
          <w14:textFill>
            <w14:solidFill>
              <w14:schemeClr w14:val="tx1"/>
            </w14:solidFill>
          </w14:textFill>
        </w:rPr>
        <w:t>当</w:t>
      </w:r>
      <w:r>
        <w:rPr>
          <w:rFonts w:hint="eastAsia" w:ascii="仿宋_GB2312" w:hAnsi="仿宋_GB2312" w:eastAsia="仿宋_GB2312" w:cs="仿宋_GB2312"/>
          <w:color w:val="000000" w:themeColor="text1"/>
          <w:sz w:val="32"/>
          <w:szCs w:val="32"/>
          <w14:textFill>
            <w14:solidFill>
              <w14:schemeClr w14:val="tx1"/>
            </w14:solidFill>
          </w14:textFill>
        </w:rPr>
        <w:t>在评标委员会推荐的定标候选人中</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客观、公正</w:t>
      </w:r>
      <w:r>
        <w:rPr>
          <w:rFonts w:hint="eastAsia" w:ascii="仿宋_GB2312" w:hAnsi="仿宋_GB2312" w:eastAsia="仿宋_GB2312" w:cs="仿宋_GB2312"/>
          <w:color w:val="000000" w:themeColor="text1"/>
          <w:sz w:val="32"/>
          <w:szCs w:val="32"/>
          <w14:textFill>
            <w14:solidFill>
              <w14:schemeClr w14:val="tx1"/>
            </w14:solidFill>
          </w14:textFill>
        </w:rPr>
        <w:t>自主确定中标人，</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原则上不宜采用评分方式进行定标。</w:t>
      </w:r>
      <w:r>
        <w:rPr>
          <w:rFonts w:hint="eastAsia" w:ascii="仿宋_GB2312" w:hAnsi="仿宋_GB2312" w:eastAsia="仿宋_GB2312" w:cs="仿宋_GB2312"/>
          <w:color w:val="000000" w:themeColor="text1"/>
          <w:sz w:val="32"/>
          <w:szCs w:val="32"/>
          <w14:textFill>
            <w14:solidFill>
              <w14:schemeClr w14:val="tx1"/>
            </w14:solidFill>
          </w14:textFill>
        </w:rPr>
        <w:t>招标人必须按照先立规则后做事的要求，客观</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公正</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科学定标</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不得将某单一定标要素作为定标依据；不得凭空武断随意定标；</w:t>
      </w:r>
      <w:r>
        <w:rPr>
          <w:rFonts w:hint="eastAsia" w:ascii="仿宋_GB2312" w:hAnsi="仿宋_GB2312" w:eastAsia="仿宋_GB2312" w:cs="仿宋_GB2312"/>
          <w:bCs/>
          <w:color w:val="000000" w:themeColor="text1"/>
          <w:sz w:val="32"/>
          <w:szCs w:val="32"/>
          <w:shd w:val="clear" w:color="auto" w:fill="FFFFFF"/>
          <w:lang w:val="en-US" w:eastAsia="zh-CN"/>
          <w14:textFill>
            <w14:solidFill>
              <w14:schemeClr w14:val="tx1"/>
            </w14:solidFill>
          </w14:textFill>
        </w:rPr>
        <w:t>不得接受任何单位或者个人明示或者暗示提出的倾向或者排斥特定投标人的要求；不得有其他不客观、不公正</w:t>
      </w:r>
      <w:r>
        <w:rPr>
          <w:rFonts w:hint="eastAsia" w:ascii="仿宋_GB2312" w:hAnsi="仿宋_GB2312" w:eastAsia="仿宋_GB2312" w:cs="仿宋_GB2312"/>
          <w:i w:val="0"/>
          <w:caps w:val="0"/>
          <w:color w:val="000000" w:themeColor="text1"/>
          <w:spacing w:val="0"/>
          <w:sz w:val="32"/>
          <w:szCs w:val="32"/>
          <w14:textFill>
            <w14:solidFill>
              <w14:schemeClr w14:val="tx1"/>
            </w14:solidFill>
          </w14:textFill>
        </w:rPr>
        <w:t>清标</w:t>
      </w:r>
      <w:r>
        <w:rPr>
          <w:rFonts w:hint="eastAsia" w:ascii="仿宋_GB2312" w:hAnsi="仿宋_GB2312" w:eastAsia="仿宋_GB2312" w:cs="仿宋_GB2312"/>
          <w:i w:val="0"/>
          <w:caps w:val="0"/>
          <w:color w:val="000000" w:themeColor="text1"/>
          <w:spacing w:val="0"/>
          <w:sz w:val="32"/>
          <w:szCs w:val="32"/>
          <w:lang w:eastAsia="zh-CN"/>
          <w14:textFill>
            <w14:solidFill>
              <w14:schemeClr w14:val="tx1"/>
            </w14:solidFill>
          </w14:textFill>
        </w:rPr>
        <w:t>、</w:t>
      </w:r>
      <w:r>
        <w:rPr>
          <w:rFonts w:hint="eastAsia" w:ascii="仿宋_GB2312" w:hAnsi="仿宋_GB2312" w:eastAsia="仿宋_GB2312" w:cs="仿宋_GB2312"/>
          <w:bCs/>
          <w:color w:val="000000" w:themeColor="text1"/>
          <w:sz w:val="32"/>
          <w:szCs w:val="32"/>
          <w:shd w:val="clear" w:color="auto" w:fill="FFFFFF"/>
          <w:lang w:val="en-US" w:eastAsia="zh-CN"/>
          <w14:textFill>
            <w14:solidFill>
              <w14:schemeClr w14:val="tx1"/>
            </w14:solidFill>
          </w14:textFill>
        </w:rPr>
        <w:t>定标行为</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定标程序、定标办法、定标要素应当事先在招标文件中明确</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应当科学、规范、透明。</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right="240" w:firstLine="640" w:firstLineChars="200"/>
        <w:jc w:val="both"/>
        <w:textAlignment w:val="auto"/>
        <w:outlineLvl w:val="9"/>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仿宋_GB2312" w:hAnsi="仿宋_GB2312" w:eastAsia="仿宋_GB2312" w:cs="仿宋_GB2312"/>
          <w:bCs/>
          <w:color w:val="000000" w:themeColor="text1"/>
          <w:sz w:val="32"/>
          <w:szCs w:val="32"/>
          <w:shd w:val="clear" w:color="auto" w:fill="FFFFFF"/>
          <w:lang w:val="en-US" w:eastAsia="zh-CN"/>
          <w14:textFill>
            <w14:solidFill>
              <w14:schemeClr w14:val="tx1"/>
            </w14:solidFill>
          </w14:textFill>
        </w:rPr>
        <w:t>在</w:t>
      </w:r>
      <w:r>
        <w:rPr>
          <w:rFonts w:hint="eastAsia" w:ascii="仿宋_GB2312" w:hAnsi="仿宋_GB2312" w:eastAsia="仿宋_GB2312" w:cs="仿宋_GB2312"/>
          <w:bCs/>
          <w:color w:val="000000" w:themeColor="text1"/>
          <w:sz w:val="32"/>
          <w:szCs w:val="32"/>
          <w:shd w:val="clear" w:color="auto" w:fill="FFFFFF"/>
          <w14:textFill>
            <w14:solidFill>
              <w14:schemeClr w14:val="tx1"/>
            </w14:solidFill>
          </w14:textFill>
        </w:rPr>
        <w:t>定标前，招标人应当</w:t>
      </w:r>
      <w:r>
        <w:rPr>
          <w:rFonts w:hint="eastAsia" w:ascii="仿宋_GB2312" w:hAnsi="仿宋_GB2312" w:eastAsia="仿宋_GB2312" w:cs="仿宋_GB2312"/>
          <w:bCs/>
          <w:color w:val="000000" w:themeColor="text1"/>
          <w:sz w:val="32"/>
          <w:szCs w:val="32"/>
          <w:shd w:val="clear" w:color="auto" w:fill="FFFFFF"/>
          <w:lang w:val="en-US" w:eastAsia="zh-CN"/>
          <w14:textFill>
            <w14:solidFill>
              <w14:schemeClr w14:val="tx1"/>
            </w14:solidFill>
          </w14:textFill>
        </w:rPr>
        <w:t>进行</w:t>
      </w:r>
      <w:r>
        <w:rPr>
          <w:rFonts w:hint="eastAsia" w:ascii="仿宋_GB2312" w:hAnsi="仿宋_GB2312" w:eastAsia="仿宋_GB2312" w:cs="仿宋_GB2312"/>
          <w:bCs/>
          <w:color w:val="000000" w:themeColor="text1"/>
          <w:sz w:val="32"/>
          <w:szCs w:val="32"/>
          <w:shd w:val="clear" w:color="auto" w:fill="FFFFFF"/>
          <w14:textFill>
            <w14:solidFill>
              <w14:schemeClr w14:val="tx1"/>
            </w14:solidFill>
          </w14:textFill>
        </w:rPr>
        <w:t>定标要素分析</w:t>
      </w:r>
      <w:r>
        <w:rPr>
          <w:rFonts w:hint="eastAsia" w:ascii="仿宋_GB2312" w:hAnsi="仿宋_GB2312" w:eastAsia="仿宋_GB2312" w:cs="仿宋_GB2312"/>
          <w:bCs/>
          <w:color w:val="000000" w:themeColor="text1"/>
          <w:sz w:val="32"/>
          <w:szCs w:val="32"/>
          <w:shd w:val="clear" w:color="auto" w:fill="FFFFFF"/>
          <w:lang w:eastAsia="zh-CN"/>
          <w14:textFill>
            <w14:solidFill>
              <w14:schemeClr w14:val="tx1"/>
            </w14:solidFill>
          </w14:textFill>
        </w:rPr>
        <w:t>、</w:t>
      </w:r>
      <w:r>
        <w:rPr>
          <w:rFonts w:hint="eastAsia" w:ascii="仿宋_GB2312" w:hAnsi="仿宋_GB2312" w:eastAsia="仿宋_GB2312" w:cs="仿宋_GB2312"/>
          <w:bCs/>
          <w:color w:val="000000" w:themeColor="text1"/>
          <w:sz w:val="32"/>
          <w:szCs w:val="32"/>
          <w:shd w:val="clear" w:color="auto" w:fill="FFFFFF"/>
          <w14:textFill>
            <w14:solidFill>
              <w14:schemeClr w14:val="tx1"/>
            </w14:solidFill>
          </w14:textFill>
        </w:rPr>
        <w:t>比较，为定标人员</w:t>
      </w:r>
      <w:r>
        <w:rPr>
          <w:rFonts w:hint="eastAsia" w:ascii="仿宋_GB2312" w:hAnsi="仿宋_GB2312" w:eastAsia="仿宋_GB2312" w:cs="仿宋_GB2312"/>
          <w:bCs/>
          <w:color w:val="000000" w:themeColor="text1"/>
          <w:sz w:val="32"/>
          <w:szCs w:val="32"/>
          <w:shd w:val="clear" w:color="auto" w:fill="FFFFFF"/>
          <w:lang w:eastAsia="zh-CN"/>
          <w14:textFill>
            <w14:solidFill>
              <w14:schemeClr w14:val="tx1"/>
            </w14:solidFill>
          </w14:textFill>
        </w:rPr>
        <w:t>精准</w:t>
      </w:r>
      <w:r>
        <w:rPr>
          <w:rFonts w:hint="eastAsia" w:ascii="仿宋_GB2312" w:hAnsi="仿宋_GB2312" w:eastAsia="仿宋_GB2312" w:cs="仿宋_GB2312"/>
          <w:bCs/>
          <w:color w:val="000000" w:themeColor="text1"/>
          <w:sz w:val="32"/>
          <w:szCs w:val="32"/>
          <w:shd w:val="clear" w:color="auto" w:fill="FFFFFF"/>
          <w14:textFill>
            <w14:solidFill>
              <w14:schemeClr w14:val="tx1"/>
            </w14:solidFill>
          </w14:textFill>
        </w:rPr>
        <w:t>定标提供</w:t>
      </w:r>
      <w:r>
        <w:rPr>
          <w:rFonts w:hint="eastAsia" w:ascii="仿宋_GB2312" w:hAnsi="仿宋_GB2312" w:eastAsia="仿宋_GB2312" w:cs="仿宋_GB2312"/>
          <w:bCs/>
          <w:color w:val="000000" w:themeColor="text1"/>
          <w:sz w:val="32"/>
          <w:szCs w:val="32"/>
          <w:shd w:val="clear" w:color="auto" w:fill="FFFFFF"/>
          <w:lang w:val="en-US" w:eastAsia="zh-CN"/>
          <w14:textFill>
            <w14:solidFill>
              <w14:schemeClr w14:val="tx1"/>
            </w14:solidFill>
          </w14:textFill>
        </w:rPr>
        <w:t>参考依据，也</w:t>
      </w:r>
      <w:r>
        <w:rPr>
          <w:rFonts w:hint="eastAsia" w:ascii="仿宋_GB2312" w:hAnsi="仿宋_GB2312" w:eastAsia="仿宋_GB2312" w:cs="仿宋_GB2312"/>
          <w:bCs/>
          <w:color w:val="000000" w:themeColor="text1"/>
          <w:sz w:val="32"/>
          <w:szCs w:val="32"/>
          <w:shd w:val="clear" w:color="auto" w:fill="FFFFFF"/>
          <w14:textFill>
            <w14:solidFill>
              <w14:schemeClr w14:val="tx1"/>
            </w14:solidFill>
          </w14:textFill>
        </w:rPr>
        <w:t>可以</w:t>
      </w:r>
      <w:r>
        <w:rPr>
          <w:rFonts w:hint="eastAsia" w:ascii="仿宋_GB2312" w:hAnsi="仿宋_GB2312" w:eastAsia="仿宋_GB2312" w:cs="仿宋_GB2312"/>
          <w:bCs/>
          <w:color w:val="000000" w:themeColor="text1"/>
          <w:sz w:val="32"/>
          <w:szCs w:val="32"/>
          <w:shd w:val="clear" w:color="auto" w:fill="FFFFFF"/>
          <w:lang w:eastAsia="zh-CN"/>
          <w14:textFill>
            <w14:solidFill>
              <w14:schemeClr w14:val="tx1"/>
            </w14:solidFill>
          </w14:textFill>
        </w:rPr>
        <w:t>组织</w:t>
      </w:r>
      <w:r>
        <w:rPr>
          <w:rFonts w:hint="eastAsia" w:ascii="仿宋_GB2312" w:hAnsi="仿宋_GB2312" w:eastAsia="仿宋_GB2312" w:cs="仿宋_GB2312"/>
          <w:bCs/>
          <w:color w:val="000000" w:themeColor="text1"/>
          <w:sz w:val="32"/>
          <w:szCs w:val="32"/>
          <w:shd w:val="clear" w:color="auto" w:fill="FFFFFF"/>
          <w14:textFill>
            <w14:solidFill>
              <w14:schemeClr w14:val="tx1"/>
            </w14:solidFill>
          </w14:textFill>
        </w:rPr>
        <w:t>清标</w:t>
      </w:r>
      <w:r>
        <w:rPr>
          <w:rFonts w:hint="eastAsia" w:ascii="仿宋_GB2312" w:hAnsi="仿宋_GB2312" w:eastAsia="仿宋_GB2312" w:cs="仿宋_GB2312"/>
          <w:bCs/>
          <w:color w:val="000000" w:themeColor="text1"/>
          <w:sz w:val="32"/>
          <w:szCs w:val="32"/>
          <w:shd w:val="clear" w:color="auto" w:fill="FFFFFF"/>
          <w:lang w:val="en-US" w:eastAsia="zh-CN"/>
          <w14:textFill>
            <w14:solidFill>
              <w14:schemeClr w14:val="tx1"/>
            </w14:solidFill>
          </w14:textFill>
        </w:rPr>
        <w:t>或者</w:t>
      </w:r>
      <w:r>
        <w:rPr>
          <w:rFonts w:hint="eastAsia" w:ascii="仿宋_GB2312" w:hAnsi="仿宋_GB2312" w:eastAsia="仿宋_GB2312" w:cs="仿宋_GB2312"/>
          <w:bCs/>
          <w:color w:val="000000" w:themeColor="text1"/>
          <w:sz w:val="32"/>
          <w:szCs w:val="32"/>
          <w:shd w:val="clear" w:color="auto" w:fill="FFFFFF"/>
          <w14:textFill>
            <w14:solidFill>
              <w14:schemeClr w14:val="tx1"/>
            </w14:solidFill>
          </w14:textFill>
        </w:rPr>
        <w:t>考察</w:t>
      </w:r>
      <w:r>
        <w:rPr>
          <w:rFonts w:hint="eastAsia" w:ascii="仿宋_GB2312" w:hAnsi="仿宋_GB2312" w:eastAsia="仿宋_GB2312" w:cs="仿宋_GB2312"/>
          <w:bCs/>
          <w:color w:val="000000" w:themeColor="text1"/>
          <w:sz w:val="32"/>
          <w:szCs w:val="32"/>
          <w:shd w:val="clear" w:color="auto" w:fill="FFFFFF"/>
          <w:lang w:eastAsia="zh-CN"/>
          <w14:textFill>
            <w14:solidFill>
              <w14:schemeClr w14:val="tx1"/>
            </w14:solidFill>
          </w14:textFill>
        </w:rPr>
        <w:t>、质询</w:t>
      </w:r>
      <w:r>
        <w:rPr>
          <w:rFonts w:hint="eastAsia" w:ascii="仿宋_GB2312" w:hAnsi="仿宋_GB2312" w:eastAsia="仿宋_GB2312" w:cs="仿宋_GB2312"/>
          <w:bCs/>
          <w:color w:val="000000" w:themeColor="text1"/>
          <w:sz w:val="32"/>
          <w:szCs w:val="32"/>
          <w:shd w:val="clear" w:color="auto" w:fill="FFFFFF"/>
          <w14:textFill>
            <w14:solidFill>
              <w14:schemeClr w14:val="tx1"/>
            </w14:solidFill>
          </w14:textFill>
        </w:rPr>
        <w:t>小组介绍清标</w:t>
      </w:r>
      <w:r>
        <w:rPr>
          <w:rFonts w:hint="eastAsia" w:ascii="仿宋_GB2312" w:hAnsi="仿宋_GB2312" w:eastAsia="仿宋_GB2312" w:cs="仿宋_GB2312"/>
          <w:bCs/>
          <w:color w:val="000000" w:themeColor="text1"/>
          <w:sz w:val="32"/>
          <w:szCs w:val="32"/>
          <w:shd w:val="clear" w:color="auto" w:fill="FFFFFF"/>
          <w:lang w:val="en-US" w:eastAsia="zh-CN"/>
          <w14:textFill>
            <w14:solidFill>
              <w14:schemeClr w14:val="tx1"/>
            </w14:solidFill>
          </w14:textFill>
        </w:rPr>
        <w:t>或者</w:t>
      </w:r>
      <w:r>
        <w:rPr>
          <w:rFonts w:hint="eastAsia" w:ascii="仿宋_GB2312" w:hAnsi="仿宋_GB2312" w:eastAsia="仿宋_GB2312" w:cs="仿宋_GB2312"/>
          <w:bCs/>
          <w:color w:val="000000" w:themeColor="text1"/>
          <w:sz w:val="32"/>
          <w:szCs w:val="32"/>
          <w:shd w:val="clear" w:color="auto" w:fill="FFFFFF"/>
          <w14:textFill>
            <w14:solidFill>
              <w14:schemeClr w14:val="tx1"/>
            </w14:solidFill>
          </w14:textFill>
        </w:rPr>
        <w:t>考察</w:t>
      </w:r>
      <w:r>
        <w:rPr>
          <w:rFonts w:hint="eastAsia" w:ascii="仿宋_GB2312" w:hAnsi="仿宋_GB2312" w:eastAsia="仿宋_GB2312" w:cs="仿宋_GB2312"/>
          <w:bCs/>
          <w:color w:val="000000" w:themeColor="text1"/>
          <w:sz w:val="32"/>
          <w:szCs w:val="32"/>
          <w:shd w:val="clear" w:color="auto" w:fill="FFFFFF"/>
          <w:lang w:eastAsia="zh-CN"/>
          <w14:textFill>
            <w14:solidFill>
              <w14:schemeClr w14:val="tx1"/>
            </w14:solidFill>
          </w14:textFill>
        </w:rPr>
        <w:t>、质询</w:t>
      </w:r>
      <w:r>
        <w:rPr>
          <w:rFonts w:hint="eastAsia" w:ascii="仿宋_GB2312" w:hAnsi="仿宋_GB2312" w:eastAsia="仿宋_GB2312" w:cs="仿宋_GB2312"/>
          <w:bCs/>
          <w:color w:val="000000" w:themeColor="text1"/>
          <w:sz w:val="32"/>
          <w:szCs w:val="32"/>
          <w:shd w:val="clear" w:color="auto" w:fill="FFFFFF"/>
          <w14:textFill>
            <w14:solidFill>
              <w14:schemeClr w14:val="tx1"/>
            </w14:solidFill>
          </w14:textFill>
        </w:rPr>
        <w:t>情况并提供清标</w:t>
      </w:r>
      <w:r>
        <w:rPr>
          <w:rFonts w:hint="eastAsia" w:ascii="仿宋_GB2312" w:hAnsi="仿宋_GB2312" w:eastAsia="仿宋_GB2312" w:cs="仿宋_GB2312"/>
          <w:bCs/>
          <w:color w:val="000000" w:themeColor="text1"/>
          <w:sz w:val="32"/>
          <w:szCs w:val="32"/>
          <w:shd w:val="clear" w:color="auto" w:fill="FFFFFF"/>
          <w:lang w:val="en-US" w:eastAsia="zh-CN"/>
          <w14:textFill>
            <w14:solidFill>
              <w14:schemeClr w14:val="tx1"/>
            </w14:solidFill>
          </w14:textFill>
        </w:rPr>
        <w:t>或者</w:t>
      </w:r>
      <w:r>
        <w:rPr>
          <w:rFonts w:hint="eastAsia" w:ascii="仿宋_GB2312" w:hAnsi="仿宋_GB2312" w:eastAsia="仿宋_GB2312" w:cs="仿宋_GB2312"/>
          <w:bCs/>
          <w:color w:val="000000" w:themeColor="text1"/>
          <w:sz w:val="32"/>
          <w:szCs w:val="32"/>
          <w:shd w:val="clear" w:color="auto" w:fill="FFFFFF"/>
          <w14:textFill>
            <w14:solidFill>
              <w14:schemeClr w14:val="tx1"/>
            </w14:solidFill>
          </w14:textFill>
        </w:rPr>
        <w:t>考察</w:t>
      </w:r>
      <w:r>
        <w:rPr>
          <w:rFonts w:hint="eastAsia" w:ascii="仿宋_GB2312" w:hAnsi="仿宋_GB2312" w:eastAsia="仿宋_GB2312" w:cs="仿宋_GB2312"/>
          <w:bCs/>
          <w:color w:val="000000" w:themeColor="text1"/>
          <w:sz w:val="32"/>
          <w:szCs w:val="32"/>
          <w:shd w:val="clear" w:color="auto" w:fill="FFFFFF"/>
          <w:lang w:eastAsia="zh-CN"/>
          <w14:textFill>
            <w14:solidFill>
              <w14:schemeClr w14:val="tx1"/>
            </w14:solidFill>
          </w14:textFill>
        </w:rPr>
        <w:t>、质询</w:t>
      </w:r>
      <w:r>
        <w:rPr>
          <w:rFonts w:hint="eastAsia" w:ascii="仿宋_GB2312" w:hAnsi="仿宋_GB2312" w:eastAsia="仿宋_GB2312" w:cs="仿宋_GB2312"/>
          <w:bCs/>
          <w:color w:val="000000" w:themeColor="text1"/>
          <w:sz w:val="32"/>
          <w:szCs w:val="32"/>
          <w:shd w:val="clear" w:color="auto" w:fill="FFFFFF"/>
          <w14:textFill>
            <w14:solidFill>
              <w14:schemeClr w14:val="tx1"/>
            </w14:solidFill>
          </w14:textFill>
        </w:rPr>
        <w:t>报告，为定标人员提供定标参考。定标要素分析</w:t>
      </w:r>
      <w:r>
        <w:rPr>
          <w:rFonts w:hint="eastAsia" w:ascii="仿宋_GB2312" w:hAnsi="仿宋_GB2312" w:eastAsia="仿宋_GB2312" w:cs="仿宋_GB2312"/>
          <w:bCs/>
          <w:color w:val="000000" w:themeColor="text1"/>
          <w:sz w:val="32"/>
          <w:szCs w:val="32"/>
          <w:shd w:val="clear" w:color="auto" w:fill="FFFFFF"/>
          <w:lang w:eastAsia="zh-CN"/>
          <w14:textFill>
            <w14:solidFill>
              <w14:schemeClr w14:val="tx1"/>
            </w14:solidFill>
          </w14:textFill>
        </w:rPr>
        <w:t>、</w:t>
      </w:r>
      <w:r>
        <w:rPr>
          <w:rFonts w:hint="eastAsia" w:ascii="仿宋_GB2312" w:hAnsi="仿宋_GB2312" w:eastAsia="仿宋_GB2312" w:cs="仿宋_GB2312"/>
          <w:bCs/>
          <w:color w:val="000000" w:themeColor="text1"/>
          <w:sz w:val="32"/>
          <w:szCs w:val="32"/>
          <w:shd w:val="clear" w:color="auto" w:fill="FFFFFF"/>
          <w14:textFill>
            <w14:solidFill>
              <w14:schemeClr w14:val="tx1"/>
            </w14:solidFill>
          </w14:textFill>
        </w:rPr>
        <w:t>比较和清标</w:t>
      </w:r>
      <w:r>
        <w:rPr>
          <w:rFonts w:hint="eastAsia" w:ascii="仿宋_GB2312" w:hAnsi="仿宋_GB2312" w:eastAsia="仿宋_GB2312" w:cs="仿宋_GB2312"/>
          <w:bCs/>
          <w:color w:val="000000" w:themeColor="text1"/>
          <w:sz w:val="32"/>
          <w:szCs w:val="32"/>
          <w:shd w:val="clear" w:color="auto" w:fill="FFFFFF"/>
          <w:lang w:val="en-US" w:eastAsia="zh-CN"/>
          <w14:textFill>
            <w14:solidFill>
              <w14:schemeClr w14:val="tx1"/>
            </w14:solidFill>
          </w14:textFill>
        </w:rPr>
        <w:t>或者</w:t>
      </w:r>
      <w:r>
        <w:rPr>
          <w:rFonts w:hint="eastAsia" w:ascii="仿宋_GB2312" w:hAnsi="仿宋_GB2312" w:eastAsia="仿宋_GB2312" w:cs="仿宋_GB2312"/>
          <w:bCs/>
          <w:color w:val="000000" w:themeColor="text1"/>
          <w:sz w:val="32"/>
          <w:szCs w:val="32"/>
          <w:shd w:val="clear" w:color="auto" w:fill="FFFFFF"/>
          <w14:textFill>
            <w14:solidFill>
              <w14:schemeClr w14:val="tx1"/>
            </w14:solidFill>
          </w14:textFill>
        </w:rPr>
        <w:t>考察</w:t>
      </w:r>
      <w:r>
        <w:rPr>
          <w:rFonts w:hint="eastAsia" w:ascii="仿宋_GB2312" w:hAnsi="仿宋_GB2312" w:eastAsia="仿宋_GB2312" w:cs="仿宋_GB2312"/>
          <w:bCs/>
          <w:color w:val="000000" w:themeColor="text1"/>
          <w:sz w:val="32"/>
          <w:szCs w:val="32"/>
          <w:shd w:val="clear" w:color="auto" w:fill="FFFFFF"/>
          <w:lang w:eastAsia="zh-CN"/>
          <w14:textFill>
            <w14:solidFill>
              <w14:schemeClr w14:val="tx1"/>
            </w14:solidFill>
          </w14:textFill>
        </w:rPr>
        <w:t>、质询</w:t>
      </w:r>
      <w:r>
        <w:rPr>
          <w:rFonts w:hint="eastAsia" w:ascii="仿宋_GB2312" w:hAnsi="仿宋_GB2312" w:eastAsia="仿宋_GB2312" w:cs="仿宋_GB2312"/>
          <w:bCs/>
          <w:color w:val="000000" w:themeColor="text1"/>
          <w:sz w:val="32"/>
          <w:szCs w:val="32"/>
          <w:shd w:val="clear" w:color="auto" w:fill="FFFFFF"/>
          <w14:textFill>
            <w14:solidFill>
              <w14:schemeClr w14:val="tx1"/>
            </w14:solidFill>
          </w14:textFill>
        </w:rPr>
        <w:t>报告都只能描述客观事实而不得带有引导性或倾向性意见。</w:t>
      </w:r>
      <w:r>
        <w:rPr>
          <w:rFonts w:hint="eastAsia" w:ascii="仿宋_GB2312" w:hAnsi="仿宋_GB2312" w:eastAsia="仿宋_GB2312" w:cs="仿宋_GB2312"/>
          <w:color w:val="000000" w:themeColor="text1"/>
          <w:sz w:val="32"/>
          <w:szCs w:val="32"/>
          <w14:textFill>
            <w14:solidFill>
              <w14:schemeClr w14:val="tx1"/>
            </w14:solidFill>
          </w14:textFill>
        </w:rPr>
        <w:t>定标人员应当</w:t>
      </w:r>
      <w:r>
        <w:rPr>
          <w:rFonts w:hint="eastAsia" w:ascii="仿宋_GB2312" w:hAnsi="仿宋_GB2312" w:eastAsia="仿宋_GB2312" w:cs="仿宋_GB2312"/>
          <w:color w:val="000000" w:themeColor="text1"/>
          <w:sz w:val="32"/>
          <w:szCs w:val="32"/>
          <w:lang w:eastAsia="zh-CN"/>
          <w14:textFill>
            <w14:solidFill>
              <w14:schemeClr w14:val="tx1"/>
            </w14:solidFill>
          </w14:textFill>
        </w:rPr>
        <w:t>参考</w:t>
      </w:r>
      <w:r>
        <w:rPr>
          <w:rFonts w:hint="eastAsia" w:ascii="仿宋_GB2312" w:hAnsi="仿宋_GB2312" w:eastAsia="仿宋_GB2312" w:cs="仿宋_GB2312"/>
          <w:bCs/>
          <w:color w:val="000000" w:themeColor="text1"/>
          <w:sz w:val="32"/>
          <w:szCs w:val="32"/>
          <w:shd w:val="clear" w:color="auto" w:fill="FFFFFF"/>
          <w14:textFill>
            <w14:solidFill>
              <w14:schemeClr w14:val="tx1"/>
            </w14:solidFill>
          </w14:textFill>
        </w:rPr>
        <w:t>清标</w:t>
      </w:r>
      <w:r>
        <w:rPr>
          <w:rFonts w:hint="eastAsia" w:ascii="仿宋_GB2312" w:hAnsi="仿宋_GB2312" w:eastAsia="仿宋_GB2312" w:cs="仿宋_GB2312"/>
          <w:bCs/>
          <w:color w:val="000000" w:themeColor="text1"/>
          <w:sz w:val="32"/>
          <w:szCs w:val="32"/>
          <w:shd w:val="clear" w:color="auto" w:fill="FFFFFF"/>
          <w:lang w:val="en-US" w:eastAsia="zh-CN"/>
          <w14:textFill>
            <w14:solidFill>
              <w14:schemeClr w14:val="tx1"/>
            </w14:solidFill>
          </w14:textFill>
        </w:rPr>
        <w:t>或者</w:t>
      </w:r>
      <w:r>
        <w:rPr>
          <w:rFonts w:hint="eastAsia" w:ascii="仿宋_GB2312" w:hAnsi="仿宋_GB2312" w:eastAsia="仿宋_GB2312" w:cs="仿宋_GB2312"/>
          <w:bCs/>
          <w:color w:val="000000" w:themeColor="text1"/>
          <w:sz w:val="32"/>
          <w:szCs w:val="32"/>
          <w:shd w:val="clear" w:color="auto" w:fill="FFFFFF"/>
          <w14:textFill>
            <w14:solidFill>
              <w14:schemeClr w14:val="tx1"/>
            </w14:solidFill>
          </w14:textFill>
        </w:rPr>
        <w:t>考察</w:t>
      </w:r>
      <w:r>
        <w:rPr>
          <w:rFonts w:hint="eastAsia" w:ascii="仿宋_GB2312" w:hAnsi="仿宋_GB2312" w:eastAsia="仿宋_GB2312" w:cs="仿宋_GB2312"/>
          <w:bCs/>
          <w:color w:val="000000" w:themeColor="text1"/>
          <w:sz w:val="32"/>
          <w:szCs w:val="32"/>
          <w:shd w:val="clear" w:color="auto" w:fill="FFFFFF"/>
          <w:lang w:eastAsia="zh-CN"/>
          <w14:textFill>
            <w14:solidFill>
              <w14:schemeClr w14:val="tx1"/>
            </w14:solidFill>
          </w14:textFill>
        </w:rPr>
        <w:t>、质询</w:t>
      </w:r>
      <w:r>
        <w:rPr>
          <w:rFonts w:hint="eastAsia" w:ascii="仿宋_GB2312" w:hAnsi="仿宋_GB2312" w:eastAsia="仿宋_GB2312" w:cs="仿宋_GB2312"/>
          <w:bCs/>
          <w:color w:val="000000" w:themeColor="text1"/>
          <w:sz w:val="32"/>
          <w:szCs w:val="32"/>
          <w:shd w:val="clear" w:color="auto" w:fill="FFFFFF"/>
          <w14:textFill>
            <w14:solidFill>
              <w14:schemeClr w14:val="tx1"/>
            </w14:solidFill>
          </w14:textFill>
        </w:rPr>
        <w:t>报告</w:t>
      </w:r>
      <w:r>
        <w:rPr>
          <w:rFonts w:hint="eastAsia" w:ascii="仿宋_GB2312" w:hAnsi="仿宋_GB2312" w:eastAsia="仿宋_GB2312" w:cs="仿宋_GB2312"/>
          <w:bCs/>
          <w:color w:val="000000" w:themeColor="text1"/>
          <w:sz w:val="32"/>
          <w:szCs w:val="32"/>
          <w:shd w:val="clear" w:color="auto" w:fill="FFFFFF"/>
          <w:lang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依据定标要素和定标原则</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等</w:t>
      </w:r>
      <w:r>
        <w:rPr>
          <w:rFonts w:hint="eastAsia" w:ascii="仿宋_GB2312" w:hAnsi="仿宋_GB2312" w:eastAsia="仿宋_GB2312" w:cs="仿宋_GB2312"/>
          <w:color w:val="000000" w:themeColor="text1"/>
          <w:sz w:val="32"/>
          <w:szCs w:val="32"/>
          <w:lang w:eastAsia="zh-CN"/>
          <w14:textFill>
            <w14:solidFill>
              <w14:schemeClr w14:val="tx1"/>
            </w14:solidFill>
          </w14:textFill>
        </w:rPr>
        <w:t>客观、公正、科学精准地</w:t>
      </w:r>
      <w:r>
        <w:rPr>
          <w:rFonts w:hint="eastAsia" w:ascii="仿宋_GB2312" w:hAnsi="仿宋_GB2312" w:eastAsia="仿宋_GB2312" w:cs="仿宋_GB2312"/>
          <w:color w:val="000000" w:themeColor="text1"/>
          <w:sz w:val="32"/>
          <w:szCs w:val="32"/>
          <w14:textFill>
            <w14:solidFill>
              <w14:schemeClr w14:val="tx1"/>
            </w14:solidFill>
          </w14:textFill>
        </w:rPr>
        <w:t>定标</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p>
    <w:p>
      <w:pPr>
        <w:pStyle w:val="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560" w:lineRule="exact"/>
        <w:ind w:right="240" w:rightChars="0" w:firstLine="642" w:firstLineChars="200"/>
        <w:jc w:val="both"/>
        <w:textAlignment w:val="auto"/>
        <w:outlineLvl w:val="9"/>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pP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（二）严格</w:t>
      </w:r>
      <w:r>
        <w:rPr>
          <w:rFonts w:hint="eastAsia" w:ascii="仿宋_GB2312" w:hAnsi="仿宋_GB2312" w:eastAsia="仿宋_GB2312" w:cs="仿宋_GB2312"/>
          <w:b/>
          <w:bCs/>
          <w:color w:val="000000" w:themeColor="text1"/>
          <w:sz w:val="32"/>
          <w:szCs w:val="32"/>
          <w:shd w:val="clear" w:color="auto" w:fill="FFFFFF"/>
          <w14:textFill>
            <w14:solidFill>
              <w14:schemeClr w14:val="tx1"/>
            </w14:solidFill>
          </w14:textFill>
        </w:rPr>
        <w:t>定标</w:t>
      </w:r>
      <w:r>
        <w:rPr>
          <w:rFonts w:hint="eastAsia" w:ascii="仿宋_GB2312" w:hAnsi="仿宋_GB2312" w:eastAsia="仿宋_GB2312" w:cs="仿宋_GB2312"/>
          <w:b/>
          <w:bCs/>
          <w:color w:val="000000" w:themeColor="text1"/>
          <w:sz w:val="32"/>
          <w:szCs w:val="32"/>
          <w:shd w:val="clear" w:color="auto" w:fill="FFFFFF"/>
          <w:lang w:eastAsia="zh-CN"/>
          <w14:textFill>
            <w14:solidFill>
              <w14:schemeClr w14:val="tx1"/>
            </w14:solidFill>
          </w14:textFill>
        </w:rPr>
        <w:t>纪律</w:t>
      </w:r>
      <w:r>
        <w:rPr>
          <w:rFonts w:hint="eastAsia" w:ascii="仿宋_GB2312" w:hAnsi="仿宋_GB2312" w:eastAsia="仿宋_GB2312" w:cs="仿宋_GB2312"/>
          <w:b/>
          <w:bCs/>
          <w:color w:val="000000" w:themeColor="text1"/>
          <w:sz w:val="32"/>
          <w:szCs w:val="32"/>
          <w:shd w:val="clear" w:color="auto" w:fill="FFFFFF"/>
          <w14:textFill>
            <w14:solidFill>
              <w14:schemeClr w14:val="tx1"/>
            </w14:solidFill>
          </w14:textFill>
        </w:rPr>
        <w:t>。</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定标人员应当客观、公正地履行职责，</w:t>
      </w:r>
      <w:r>
        <w:rPr>
          <w:rFonts w:hint="eastAsia" w:ascii="仿宋_GB2312" w:hAnsi="仿宋_GB2312" w:eastAsia="仿宋_GB2312" w:cs="仿宋_GB2312"/>
          <w:color w:val="000000" w:themeColor="text1"/>
          <w:sz w:val="32"/>
          <w:szCs w:val="32"/>
          <w14:textFill>
            <w14:solidFill>
              <w14:schemeClr w14:val="tx1"/>
            </w14:solidFill>
          </w14:textFill>
        </w:rPr>
        <w:t>不能主观臆断</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违背</w:t>
      </w:r>
      <w:r>
        <w:rPr>
          <w:rFonts w:hint="eastAsia" w:ascii="仿宋_GB2312" w:hAnsi="仿宋_GB2312" w:eastAsia="仿宋_GB2312" w:cs="仿宋_GB2312"/>
          <w:color w:val="000000" w:themeColor="text1"/>
          <w:sz w:val="32"/>
          <w:szCs w:val="32"/>
          <w:lang w:eastAsia="zh-CN"/>
          <w14:textFill>
            <w14:solidFill>
              <w14:schemeClr w14:val="tx1"/>
            </w14:solidFill>
          </w14:textFill>
        </w:rPr>
        <w:t>有关规定定标，定标人员</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对所提出的定标意见承担</w:t>
      </w:r>
      <w:r>
        <w:rPr>
          <w:rFonts w:hint="eastAsia" w:ascii="仿宋_GB2312" w:hAnsi="仿宋_GB2312" w:eastAsia="仿宋_GB2312" w:cs="仿宋_GB2312"/>
          <w:color w:val="000000" w:themeColor="text1"/>
          <w:sz w:val="32"/>
          <w:szCs w:val="32"/>
          <w:shd w:val="clear" w:color="auto" w:fill="FFFFFF"/>
          <w:lang w:eastAsia="zh-CN"/>
          <w14:textFill>
            <w14:solidFill>
              <w14:schemeClr w14:val="tx1"/>
            </w14:solidFill>
          </w14:textFill>
        </w:rPr>
        <w:t>个人</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责任。参加定标活动的所有人员应</w:t>
      </w:r>
      <w:r>
        <w:rPr>
          <w:rFonts w:hint="eastAsia" w:ascii="仿宋_GB2312" w:hAnsi="仿宋_GB2312" w:eastAsia="仿宋_GB2312" w:cs="仿宋_GB2312"/>
          <w:color w:val="000000" w:themeColor="text1"/>
          <w:sz w:val="32"/>
          <w:szCs w:val="32"/>
          <w:shd w:val="clear" w:color="auto" w:fill="FFFFFF"/>
          <w:lang w:val="en-US" w:eastAsia="zh-CN"/>
          <w14:textFill>
            <w14:solidFill>
              <w14:schemeClr w14:val="tx1"/>
            </w14:solidFill>
          </w14:textFill>
        </w:rPr>
        <w:t>当</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严格遵守</w:t>
      </w:r>
      <w:r>
        <w:rPr>
          <w:rFonts w:hint="eastAsia" w:ascii="仿宋_GB2312" w:hAnsi="仿宋_GB2312" w:eastAsia="仿宋_GB2312" w:cs="仿宋_GB2312"/>
          <w:color w:val="000000" w:themeColor="text1"/>
          <w:sz w:val="32"/>
          <w:szCs w:val="32"/>
          <w:shd w:val="clear" w:color="auto" w:fill="FFFFFF"/>
          <w:lang w:val="en-US" w:eastAsia="zh-CN"/>
          <w14:textFill>
            <w14:solidFill>
              <w14:schemeClr w14:val="tx1"/>
            </w14:solidFill>
          </w14:textFill>
        </w:rPr>
        <w:t>定标</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纪律，定标人员</w:t>
      </w:r>
      <w:r>
        <w:rPr>
          <w:rFonts w:hint="eastAsia" w:ascii="仿宋_GB2312" w:hAnsi="仿宋_GB2312" w:eastAsia="仿宋_GB2312" w:cs="仿宋_GB2312"/>
          <w:color w:val="000000" w:themeColor="text1"/>
          <w:sz w:val="32"/>
          <w:szCs w:val="32"/>
          <w:shd w:val="clear" w:color="auto" w:fill="FFFFFF"/>
          <w:lang w:val="en-US" w:eastAsia="zh-CN"/>
          <w14:textFill>
            <w14:solidFill>
              <w14:schemeClr w14:val="tx1"/>
            </w14:solidFill>
          </w14:textFill>
        </w:rPr>
        <w:t>违反有关规定定标或者</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涉</w:t>
      </w:r>
      <w:r>
        <w:rPr>
          <w:rFonts w:hint="eastAsia" w:ascii="仿宋_GB2312" w:hAnsi="仿宋_GB2312" w:eastAsia="仿宋_GB2312" w:cs="仿宋_GB2312"/>
          <w:color w:val="000000" w:themeColor="text1"/>
          <w:sz w:val="32"/>
          <w:szCs w:val="32"/>
          <w:shd w:val="clear" w:color="auto" w:fill="FFFFFF"/>
          <w:lang w:val="en-US" w:eastAsia="zh-CN"/>
          <w14:textFill>
            <w14:solidFill>
              <w14:schemeClr w14:val="tx1"/>
            </w14:solidFill>
          </w14:textFill>
        </w:rPr>
        <w:t>嫌违法</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违规违纪的</w:t>
      </w:r>
      <w:r>
        <w:rPr>
          <w:rFonts w:hint="eastAsia" w:ascii="仿宋_GB2312" w:hAnsi="仿宋_GB2312" w:eastAsia="仿宋_GB2312" w:cs="仿宋_GB2312"/>
          <w:color w:val="000000" w:themeColor="text1"/>
          <w:sz w:val="32"/>
          <w:szCs w:val="32"/>
          <w:shd w:val="clear" w:color="auto" w:fill="FFFFFF"/>
          <w:lang w:eastAsia="zh-CN"/>
          <w14:textFill>
            <w14:solidFill>
              <w14:schemeClr w14:val="tx1"/>
            </w14:solidFill>
          </w14:textFill>
        </w:rPr>
        <w:t>，</w:t>
      </w:r>
      <w:r>
        <w:rPr>
          <w:rFonts w:hint="eastAsia" w:ascii="仿宋_GB2312" w:hAnsi="仿宋_GB2312" w:eastAsia="仿宋_GB2312" w:cs="仿宋_GB2312"/>
          <w:color w:val="000000" w:themeColor="text1"/>
          <w:sz w:val="32"/>
          <w:szCs w:val="32"/>
          <w:shd w:val="clear" w:color="auto" w:fill="FFFFFF"/>
          <w:lang w:val="en-US" w:eastAsia="zh-CN"/>
          <w14:textFill>
            <w14:solidFill>
              <w14:schemeClr w14:val="tx1"/>
            </w14:solidFill>
          </w14:textFill>
        </w:rPr>
        <w:t>依法依规进行处理。</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招标人要加强对定标人员</w:t>
      </w:r>
      <w:r>
        <w:rPr>
          <w:rFonts w:hint="eastAsia" w:ascii="仿宋_GB2312" w:hAnsi="仿宋_GB2312" w:eastAsia="仿宋_GB2312" w:cs="仿宋_GB2312"/>
          <w:color w:val="000000" w:themeColor="text1"/>
          <w:sz w:val="32"/>
          <w:szCs w:val="32"/>
          <w:shd w:val="clear" w:color="auto" w:fill="FFFFFF"/>
          <w:lang w:eastAsia="zh-CN"/>
          <w14:textFill>
            <w14:solidFill>
              <w14:schemeClr w14:val="tx1"/>
            </w14:solidFill>
          </w14:textFill>
        </w:rPr>
        <w:t>的</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廉政教育和管理，</w:t>
      </w:r>
      <w:r>
        <w:rPr>
          <w:rFonts w:hint="eastAsia" w:ascii="仿宋_GB2312" w:hAnsi="仿宋_GB2312" w:eastAsia="仿宋_GB2312" w:cs="仿宋_GB2312"/>
          <w:color w:val="000000" w:themeColor="text1"/>
          <w:sz w:val="32"/>
          <w:szCs w:val="32"/>
          <w:shd w:val="clear" w:color="auto" w:fill="FFFFFF"/>
          <w:lang w:val="en-US" w:eastAsia="zh-CN"/>
          <w14:textFill>
            <w14:solidFill>
              <w14:schemeClr w14:val="tx1"/>
            </w14:solidFill>
          </w14:textFill>
        </w:rPr>
        <w:t>防止其</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权力寻租</w:t>
      </w:r>
      <w:r>
        <w:rPr>
          <w:rFonts w:hint="eastAsia" w:ascii="仿宋_GB2312" w:hAnsi="仿宋_GB2312" w:eastAsia="仿宋_GB2312" w:cs="仿宋_GB2312"/>
          <w:color w:val="000000" w:themeColor="text1"/>
          <w:sz w:val="32"/>
          <w:szCs w:val="32"/>
          <w:shd w:val="clear" w:color="auto" w:fill="FFFFFF"/>
          <w:lang w:val="en-US" w:eastAsia="zh-CN"/>
          <w14:textFill>
            <w14:solidFill>
              <w14:schemeClr w14:val="tx1"/>
            </w14:solidFill>
          </w14:textFill>
        </w:rPr>
        <w:t>和杜绝</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收受投标人</w:t>
      </w:r>
      <w:r>
        <w:rPr>
          <w:rFonts w:hint="eastAsia" w:ascii="仿宋_GB2312" w:hAnsi="仿宋_GB2312" w:eastAsia="仿宋_GB2312" w:cs="仿宋_GB2312"/>
          <w:color w:val="000000" w:themeColor="text1"/>
          <w:sz w:val="32"/>
          <w:szCs w:val="32"/>
          <w:shd w:val="clear" w:color="auto" w:fill="FFFFFF"/>
          <w:lang w:val="en-US" w:eastAsia="zh-CN"/>
          <w14:textFill>
            <w14:solidFill>
              <w14:schemeClr w14:val="tx1"/>
            </w14:solidFill>
          </w14:textFill>
        </w:rPr>
        <w:t>或者</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其</w:t>
      </w:r>
      <w:r>
        <w:rPr>
          <w:rFonts w:hint="eastAsia" w:ascii="仿宋_GB2312" w:hAnsi="仿宋_GB2312" w:eastAsia="仿宋_GB2312" w:cs="仿宋_GB2312"/>
          <w:color w:val="000000" w:themeColor="text1"/>
          <w:sz w:val="32"/>
          <w:szCs w:val="32"/>
          <w:shd w:val="clear" w:color="auto" w:fill="FFFFFF"/>
          <w:lang w:val="en-US" w:eastAsia="zh-CN"/>
          <w14:textFill>
            <w14:solidFill>
              <w14:schemeClr w14:val="tx1"/>
            </w14:solidFill>
          </w14:textFill>
        </w:rPr>
        <w:t>他</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利害关系人财物或者其他好处</w:t>
      </w:r>
      <w:r>
        <w:rPr>
          <w:rFonts w:hint="eastAsia" w:ascii="仿宋_GB2312" w:hAnsi="仿宋_GB2312" w:eastAsia="仿宋_GB2312" w:cs="仿宋_GB2312"/>
          <w:color w:val="000000" w:themeColor="text1"/>
          <w:sz w:val="32"/>
          <w:szCs w:val="32"/>
          <w:shd w:val="clear" w:color="auto" w:fill="FFFFFF"/>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、非法干涉招标投标</w:t>
      </w:r>
      <w:r>
        <w:rPr>
          <w:rFonts w:hint="eastAsia" w:ascii="仿宋_GB2312" w:hAnsi="仿宋_GB2312" w:eastAsia="仿宋_GB2312" w:cs="仿宋_GB2312"/>
          <w:color w:val="000000" w:themeColor="text1"/>
          <w:sz w:val="32"/>
          <w:szCs w:val="32"/>
          <w:shd w:val="clear" w:color="auto" w:fill="FFFFFF"/>
          <w:lang w:eastAsia="zh-CN"/>
          <w14:textFill>
            <w14:solidFill>
              <w14:schemeClr w14:val="tx1"/>
            </w14:solidFill>
          </w14:textFill>
        </w:rPr>
        <w:t>评标定标</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等</w:t>
      </w:r>
      <w:r>
        <w:rPr>
          <w:rFonts w:hint="eastAsia" w:ascii="仿宋_GB2312" w:hAnsi="仿宋_GB2312" w:eastAsia="仿宋_GB2312" w:cs="仿宋_GB2312"/>
          <w:color w:val="000000" w:themeColor="text1"/>
          <w:sz w:val="32"/>
          <w:szCs w:val="32"/>
          <w:shd w:val="clear" w:color="auto" w:fill="FFFFFF"/>
          <w:lang w:val="en-US" w:eastAsia="zh-CN"/>
          <w14:textFill>
            <w14:solidFill>
              <w14:schemeClr w14:val="tx1"/>
            </w14:solidFill>
          </w14:textFill>
        </w:rPr>
        <w:t>违法违规</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行为。</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right="240" w:firstLine="642" w:firstLineChars="200"/>
        <w:jc w:val="both"/>
        <w:textAlignment w:val="auto"/>
        <w:outlineLvl w:val="9"/>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（三）加强</w:t>
      </w:r>
      <w:r>
        <w:rPr>
          <w:rFonts w:hint="eastAsia" w:ascii="仿宋_GB2312" w:hAnsi="微软雅黑" w:eastAsia="仿宋_GB2312" w:cs="仿宋_GB2312"/>
          <w:b/>
          <w:bCs/>
          <w:color w:val="000000" w:themeColor="text1"/>
          <w:sz w:val="31"/>
          <w:szCs w:val="31"/>
          <w:shd w:val="clear" w:color="auto" w:fill="FFFFFF"/>
          <w14:textFill>
            <w14:solidFill>
              <w14:schemeClr w14:val="tx1"/>
            </w14:solidFill>
          </w14:textFill>
        </w:rPr>
        <w:t>定标委员会</w:t>
      </w:r>
      <w:r>
        <w:rPr>
          <w:rFonts w:hint="eastAsia" w:ascii="仿宋_GB2312" w:hAnsi="仿宋_GB2312" w:eastAsia="仿宋_GB2312" w:cs="仿宋_GB2312"/>
          <w:b/>
          <w:bCs/>
          <w:color w:val="000000" w:themeColor="text1"/>
          <w:sz w:val="32"/>
          <w:szCs w:val="32"/>
          <w:shd w:val="clear" w:color="auto" w:fill="FFFFFF"/>
          <w14:textFill>
            <w14:solidFill>
              <w14:schemeClr w14:val="tx1"/>
            </w14:solidFill>
          </w14:textFill>
        </w:rPr>
        <w:t>管理。</w:t>
      </w:r>
      <w:r>
        <w:rPr>
          <w:rFonts w:hint="eastAsia" w:ascii="仿宋_GB2312" w:hAnsi="仿宋_GB2312" w:eastAsia="仿宋_GB2312" w:cs="仿宋_GB2312"/>
          <w:bCs/>
          <w:color w:val="000000" w:themeColor="text1"/>
          <w:sz w:val="32"/>
          <w:szCs w:val="32"/>
          <w:shd w:val="clear" w:color="auto" w:fill="FFFFFF"/>
          <w14:textFill>
            <w14:solidFill>
              <w14:schemeClr w14:val="tx1"/>
            </w14:solidFill>
          </w14:textFill>
        </w:rPr>
        <w:t>采用</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定标委员会</w:t>
      </w:r>
      <w:r>
        <w:rPr>
          <w:rFonts w:hint="eastAsia" w:ascii="仿宋_GB2312" w:hAnsi="仿宋_GB2312" w:eastAsia="仿宋_GB2312" w:cs="仿宋_GB2312"/>
          <w:color w:val="000000" w:themeColor="text1"/>
          <w:sz w:val="32"/>
          <w:szCs w:val="32"/>
          <w:shd w:val="clear" w:color="auto" w:fill="FFFFFF"/>
          <w:lang w:val="en-US" w:eastAsia="zh-CN"/>
          <w14:textFill>
            <w14:solidFill>
              <w14:schemeClr w14:val="tx1"/>
            </w14:solidFill>
          </w14:textFill>
        </w:rPr>
        <w:t>法</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定标的，招标人应规范定标委员成员资格认定、抽取和定标委会成员履职管理，切实保障定标工作</w:t>
      </w:r>
      <w:r>
        <w:rPr>
          <w:rFonts w:hint="eastAsia" w:ascii="仿宋_GB2312" w:hAnsi="仿宋_GB2312" w:eastAsia="仿宋_GB2312" w:cs="仿宋_GB2312"/>
          <w:color w:val="000000" w:themeColor="text1"/>
          <w:sz w:val="32"/>
          <w:szCs w:val="32"/>
          <w:shd w:val="clear" w:color="auto" w:fill="FFFFFF"/>
          <w:lang w:eastAsia="zh-CN"/>
          <w14:textFill>
            <w14:solidFill>
              <w14:schemeClr w14:val="tx1"/>
            </w14:solidFill>
          </w14:textFill>
        </w:rPr>
        <w:t>客观、</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公正</w:t>
      </w:r>
      <w:bookmarkStart w:id="0" w:name="_GoBack"/>
      <w:bookmarkEnd w:id="0"/>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定标报告应当由定标委员会全体成员签字，对定标结果有不同意见的定标委员会成员应当以书面形式说明其不同意见和理由，定标报告应当注明该不同意见。定标委员会成员拒绝在定标报告上签字又不书面说明其不同意见和理由的，视为同意定标结果。</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right="240" w:firstLine="640" w:firstLineChars="200"/>
        <w:jc w:val="both"/>
        <w:textAlignment w:val="auto"/>
        <w:outlineLvl w:val="9"/>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pP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right="240" w:firstLine="640" w:firstLineChars="200"/>
        <w:jc w:val="both"/>
        <w:textAlignment w:val="auto"/>
        <w:outlineLvl w:val="9"/>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pP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right="240" w:firstLine="640" w:firstLineChars="200"/>
        <w:jc w:val="both"/>
        <w:textAlignment w:val="auto"/>
        <w:outlineLvl w:val="9"/>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pP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right="240" w:firstLine="640" w:firstLineChars="200"/>
        <w:jc w:val="both"/>
        <w:textAlignment w:val="auto"/>
        <w:outlineLvl w:val="9"/>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pP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right="240" w:firstLine="640" w:firstLineChars="200"/>
        <w:jc w:val="both"/>
        <w:textAlignment w:val="auto"/>
        <w:outlineLvl w:val="9"/>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pP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right="240" w:firstLine="640" w:firstLineChars="200"/>
        <w:jc w:val="both"/>
        <w:textAlignment w:val="auto"/>
        <w:outlineLvl w:val="9"/>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pP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right="240" w:firstLine="640" w:firstLineChars="200"/>
        <w:jc w:val="both"/>
        <w:textAlignment w:val="auto"/>
        <w:outlineLvl w:val="9"/>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pP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right="240" w:firstLine="640" w:firstLineChars="200"/>
        <w:jc w:val="both"/>
        <w:textAlignment w:val="auto"/>
        <w:outlineLvl w:val="9"/>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pP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right="240" w:firstLine="640" w:firstLineChars="200"/>
        <w:jc w:val="both"/>
        <w:textAlignment w:val="auto"/>
        <w:outlineLvl w:val="9"/>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pP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right="240" w:firstLine="640" w:firstLineChars="200"/>
        <w:jc w:val="both"/>
        <w:textAlignment w:val="auto"/>
        <w:outlineLvl w:val="9"/>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pP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right="240" w:firstLine="640" w:firstLineChars="200"/>
        <w:jc w:val="both"/>
        <w:textAlignment w:val="auto"/>
        <w:outlineLvl w:val="9"/>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pP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right="240" w:firstLine="640" w:firstLineChars="200"/>
        <w:jc w:val="both"/>
        <w:textAlignment w:val="auto"/>
        <w:outlineLvl w:val="9"/>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pP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right="240" w:firstLine="640" w:firstLineChars="200"/>
        <w:jc w:val="both"/>
        <w:textAlignment w:val="auto"/>
        <w:outlineLvl w:val="9"/>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pP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right="240" w:firstLine="640" w:firstLineChars="200"/>
        <w:jc w:val="both"/>
        <w:textAlignment w:val="auto"/>
        <w:outlineLvl w:val="9"/>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pP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right="240" w:firstLine="640" w:firstLineChars="200"/>
        <w:jc w:val="both"/>
        <w:textAlignment w:val="auto"/>
        <w:outlineLvl w:val="9"/>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pP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right="240" w:firstLine="640" w:firstLineChars="200"/>
        <w:jc w:val="both"/>
        <w:textAlignment w:val="auto"/>
        <w:outlineLvl w:val="9"/>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pP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right="240" w:firstLine="640" w:firstLineChars="200"/>
        <w:jc w:val="both"/>
        <w:textAlignment w:val="auto"/>
        <w:outlineLvl w:val="9"/>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pPr>
    </w:p>
    <w:p>
      <w:pPr>
        <w:rPr>
          <w:rFonts w:hint="eastAsia" w:ascii="宋体" w:hAnsi="宋体"/>
          <w:sz w:val="28"/>
          <w:szCs w:val="28"/>
          <w:u w:val="single"/>
          <w:lang w:val="en-US" w:eastAsia="zh-CN"/>
        </w:rPr>
      </w:pPr>
      <w:r>
        <w:rPr>
          <w:rFonts w:hint="eastAsia" w:ascii="宋体" w:hAnsi="宋体"/>
          <w:sz w:val="28"/>
          <w:szCs w:val="28"/>
          <w:u w:val="single"/>
          <w:lang w:val="en-US" w:eastAsia="zh-CN"/>
        </w:rPr>
        <w:t xml:space="preserve">                                                             </w:t>
      </w:r>
    </w:p>
    <w:p>
      <w:pPr>
        <w:rPr>
          <w:rFonts w:hint="eastAsia"/>
          <w:lang w:val="en-US" w:eastAsia="zh-CN"/>
        </w:rPr>
      </w:pPr>
      <w:r>
        <w:rPr>
          <w:rFonts w:hint="eastAsia" w:ascii="仿宋_GB2312" w:hAnsi="仿宋_GB2312" w:eastAsia="仿宋_GB2312" w:cs="仿宋_GB2312"/>
          <w:sz w:val="28"/>
          <w:szCs w:val="28"/>
          <w:u w:val="single"/>
          <w:lang w:val="en-US" w:eastAsia="zh-CN"/>
        </w:rPr>
        <w:t>黄石市政务服务和大数据管理局             2019年12月5日印</w:t>
      </w: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微软雅黑">
    <w:altName w:val="黑体"/>
    <w:panose1 w:val="020B0503020204020204"/>
    <w:charset w:val="86"/>
    <w:family w:val="roman"/>
    <w:pitch w:val="default"/>
    <w:sig w:usb0="00000000" w:usb1="00000000" w:usb2="00000016" w:usb3="00000000" w:csb0="0004001F"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Theme="minorEastAsia"/>
                              <w:sz w:val="18"/>
                              <w:lang w:eastAsia="zh-CN"/>
                            </w:rPr>
                          </w:pPr>
                          <w:r>
                            <w:rPr>
                              <w:rFonts w:hint="eastAsia" w:ascii="仿宋_GB2312" w:hAnsi="仿宋_GB2312" w:eastAsia="仿宋_GB2312" w:cs="仿宋_GB2312"/>
                              <w:sz w:val="28"/>
                              <w:szCs w:val="28"/>
                              <w:lang w:eastAsia="zh-CN"/>
                            </w:rPr>
                            <w:fldChar w:fldCharType="begin"/>
                          </w:r>
                          <w:r>
                            <w:rPr>
                              <w:rFonts w:hint="eastAsia" w:ascii="仿宋_GB2312" w:hAnsi="仿宋_GB2312" w:eastAsia="仿宋_GB2312" w:cs="仿宋_GB2312"/>
                              <w:sz w:val="28"/>
                              <w:szCs w:val="28"/>
                              <w:lang w:eastAsia="zh-CN"/>
                            </w:rPr>
                            <w:instrText xml:space="preserve"> PAGE  \* MERGEFORMAT </w:instrText>
                          </w:r>
                          <w:r>
                            <w:rPr>
                              <w:rFonts w:hint="eastAsia" w:ascii="仿宋_GB2312" w:hAnsi="仿宋_GB2312" w:eastAsia="仿宋_GB2312" w:cs="仿宋_GB2312"/>
                              <w:sz w:val="28"/>
                              <w:szCs w:val="28"/>
                              <w:lang w:eastAsia="zh-CN"/>
                            </w:rPr>
                            <w:fldChar w:fldCharType="separate"/>
                          </w:r>
                          <w:r>
                            <w:rPr>
                              <w:rFonts w:hint="eastAsia" w:ascii="仿宋_GB2312" w:hAnsi="仿宋_GB2312" w:eastAsia="仿宋_GB2312" w:cs="仿宋_GB2312"/>
                              <w:sz w:val="28"/>
                              <w:szCs w:val="28"/>
                              <w:lang w:eastAsia="zh-CN"/>
                            </w:rPr>
                            <w:t>1</w:t>
                          </w:r>
                          <w:r>
                            <w:rPr>
                              <w:rFonts w:hint="eastAsia" w:ascii="仿宋_GB2312" w:hAnsi="仿宋_GB2312" w:eastAsia="仿宋_GB2312" w:cs="仿宋_GB2312"/>
                              <w:sz w:val="28"/>
                              <w:szCs w:val="28"/>
                              <w:lang w:eastAsia="zh-CN"/>
                            </w:rP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176IwHQIAACkEAAAOAAAAZHJz&#10;L2Uyb0RvYy54bWytU82O0zAQviPxDpbvNGkrVlXVdFV2VYRUsSstiLPr2E0kx7Zst0l5AHgDTly4&#10;81x9jv3sJi0CToiLPeMZz8833yxuu0aRg3C+Nrqg41FOidDclLXeFfTjh/WrGSU+MF0yZbQo6FF4&#10;ert8+WLR2rmYmMqoUjiCINrPW1vQKgQ7zzLPK9EwPzJWaBilcQ0LUN0uKx1rEb1R2STPb7LWuNI6&#10;w4X3eL0/G+kyxZdS8PAgpReBqIKitpBOl85tPLPlgs13jtmq5n0Z7B+qaFitkfQS6p4FRvau/iNU&#10;U3NnvJFhxE2TGSlrLlIP6Gac/9bNU8WsSL0AHG8vMPn/F5a/Pzw6UpcFnVKiWYMRnb59PX3/efrx&#10;hUwjPK31c3g9WfiF7o3pChrcXgwmj/fYeCddE2+0ROACrI8XfEUXCMfjeDaZzXKYOGyDghTZ9bt1&#10;PrwVpiFRKKjDABOu7LDx4ew6uMRs2qxrpdIQlSZtQW+mr/P04WJBcKWRI/ZxLjZKodt2fXNbUx7R&#10;mzNncnjL1zWSb5gPj8yBDSgYDA8POKQySGJ6iZLKuM9/e4/+GBKslLRgV0E16E+JeqcxvEjEQXCD&#10;sB0EvW/uDOg6xuZYnkR8cEENonSm+QTar2IOyZRHYKY5smE0g3gXoPVGrA8Xq9VF31tX76rrZ1DR&#10;srDRT5b3w43YervaB+CbYI+YnYHqoQQf0+D63YmE/1VPXtcNXz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FgAAAGRycy9QSwECFAAUAAAA&#10;CACHTuJAs0lY7tAAAAAFAQAADwAAAAAAAAABACAAAAA4AAAAZHJzL2Rvd25yZXYueG1sUEsBAhQA&#10;FAAAAAgAh07iQPXvojAdAgAAKQQAAA4AAAAAAAAAAQAgAAAANQEAAGRycy9lMm9Eb2MueG1sUEsF&#10;BgAAAAAGAAYAWQEAAMQFAAAAAA==&#10;">
              <v:fill on="f" focussize="0,0"/>
              <v:stroke on="f" weight="0.5pt"/>
              <v:imagedata o:title=""/>
              <o:lock v:ext="edit" aspectratio="f"/>
              <v:textbox inset="0mm,0mm,0mm,0mm" style="mso-fit-shape-to-text:t;">
                <w:txbxContent>
                  <w:p>
                    <w:pPr>
                      <w:snapToGrid w:val="0"/>
                      <w:rPr>
                        <w:rFonts w:hint="eastAsia" w:eastAsiaTheme="minorEastAsia"/>
                        <w:sz w:val="18"/>
                        <w:lang w:eastAsia="zh-CN"/>
                      </w:rPr>
                    </w:pPr>
                    <w:r>
                      <w:rPr>
                        <w:rFonts w:hint="eastAsia" w:ascii="仿宋_GB2312" w:hAnsi="仿宋_GB2312" w:eastAsia="仿宋_GB2312" w:cs="仿宋_GB2312"/>
                        <w:sz w:val="28"/>
                        <w:szCs w:val="28"/>
                        <w:lang w:eastAsia="zh-CN"/>
                      </w:rPr>
                      <w:fldChar w:fldCharType="begin"/>
                    </w:r>
                    <w:r>
                      <w:rPr>
                        <w:rFonts w:hint="eastAsia" w:ascii="仿宋_GB2312" w:hAnsi="仿宋_GB2312" w:eastAsia="仿宋_GB2312" w:cs="仿宋_GB2312"/>
                        <w:sz w:val="28"/>
                        <w:szCs w:val="28"/>
                        <w:lang w:eastAsia="zh-CN"/>
                      </w:rPr>
                      <w:instrText xml:space="preserve"> PAGE  \* MERGEFORMAT </w:instrText>
                    </w:r>
                    <w:r>
                      <w:rPr>
                        <w:rFonts w:hint="eastAsia" w:ascii="仿宋_GB2312" w:hAnsi="仿宋_GB2312" w:eastAsia="仿宋_GB2312" w:cs="仿宋_GB2312"/>
                        <w:sz w:val="28"/>
                        <w:szCs w:val="28"/>
                        <w:lang w:eastAsia="zh-CN"/>
                      </w:rPr>
                      <w:fldChar w:fldCharType="separate"/>
                    </w:r>
                    <w:r>
                      <w:rPr>
                        <w:rFonts w:hint="eastAsia" w:ascii="仿宋_GB2312" w:hAnsi="仿宋_GB2312" w:eastAsia="仿宋_GB2312" w:cs="仿宋_GB2312"/>
                        <w:sz w:val="28"/>
                        <w:szCs w:val="28"/>
                        <w:lang w:eastAsia="zh-CN"/>
                      </w:rPr>
                      <w:t>1</w:t>
                    </w:r>
                    <w:r>
                      <w:rPr>
                        <w:rFonts w:hint="eastAsia" w:ascii="仿宋_GB2312" w:hAnsi="仿宋_GB2312" w:eastAsia="仿宋_GB2312" w:cs="仿宋_GB2312"/>
                        <w:sz w:val="28"/>
                        <w:szCs w:val="28"/>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186D54"/>
    <w:multiLevelType w:val="singleLevel"/>
    <w:tmpl w:val="BD186D54"/>
    <w:lvl w:ilvl="0" w:tentative="0">
      <w:start w:val="1"/>
      <w:numFmt w:val="chineseCounting"/>
      <w:suff w:val="nothing"/>
      <w:lvlText w:val="（%1）"/>
      <w:lvlJc w:val="left"/>
      <w:rPr>
        <w:rFonts w:hint="eastAsia"/>
        <w:b/>
      </w:rPr>
    </w:lvl>
  </w:abstractNum>
  <w:abstractNum w:abstractNumId="1">
    <w:nsid w:val="F9CDDAA1"/>
    <w:multiLevelType w:val="singleLevel"/>
    <w:tmpl w:val="F9CDDAA1"/>
    <w:lvl w:ilvl="0" w:tentative="0">
      <w:start w:val="2"/>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DE91ED2"/>
    <w:rsid w:val="19533317"/>
    <w:rsid w:val="1C812471"/>
    <w:rsid w:val="26FF9DE4"/>
    <w:rsid w:val="2DBE5681"/>
    <w:rsid w:val="300405E7"/>
    <w:rsid w:val="4DE91ED2"/>
    <w:rsid w:val="73640421"/>
    <w:rsid w:val="741A383D"/>
    <w:rsid w:val="BEEA10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widowControl/>
      <w:spacing w:before="100" w:beforeAutospacing="1" w:after="100" w:afterAutospacing="1"/>
      <w:jc w:val="left"/>
    </w:pPr>
    <w:rPr>
      <w:rFonts w:ascii="宋体" w:hAnsi="宋体" w:cs="宋体"/>
      <w:kern w:val="0"/>
      <w:sz w:val="24"/>
    </w:rPr>
  </w:style>
  <w:style w:type="character" w:styleId="7">
    <w:name w:val="Strong"/>
    <w:basedOn w:val="6"/>
    <w:qFormat/>
    <w:uiPriority w:val="0"/>
    <w:rPr>
      <w:b/>
      <w:color w:val="00000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3174</Words>
  <Characters>3231</Characters>
  <Lines>0</Lines>
  <Paragraphs>0</Paragraphs>
  <TotalTime>7</TotalTime>
  <ScaleCrop>false</ScaleCrop>
  <LinksUpToDate>false</LinksUpToDate>
  <CharactersWithSpaces>3399</CharactersWithSpaces>
  <Application>WPS Office_11.8.2.9980_F1E327BC-269C-435d-A152-05C5408002CA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2019-12-05T11:47:00Z</dcterms:created>
  <dc:creator>周朝辉</dc:creator>
  <cp:lastModifiedBy>greatwall</cp:lastModifiedBy>
  <dcterms:modified xsi:type="dcterms:W3CDTF">2023-07-07T11:20:54Z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2052-11.8.2.9980</vt:lpwstr>
  </property>
</Properties>
</file>